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A5AD" w14:textId="77777777" w:rsidR="00F23221" w:rsidRPr="008E67A2" w:rsidRDefault="00F23221" w:rsidP="00F23221">
      <w:pPr>
        <w:jc w:val="center"/>
        <w:rPr>
          <w:rFonts w:ascii="Trebuchet MS" w:hAnsi="Trebuchet MS"/>
          <w:b/>
          <w:sz w:val="36"/>
          <w:szCs w:val="24"/>
        </w:rPr>
      </w:pPr>
      <w:r w:rsidRPr="008E67A2">
        <w:rPr>
          <w:rFonts w:ascii="Trebuchet MS" w:hAnsi="Trebuchet MS"/>
          <w:b/>
          <w:sz w:val="36"/>
          <w:szCs w:val="24"/>
        </w:rPr>
        <w:t>THE EQUALITIES SENSITIVITY RATING LTD</w:t>
      </w:r>
    </w:p>
    <w:p w14:paraId="761ACE3D" w14:textId="77777777" w:rsidR="00F23221" w:rsidRPr="008E67A2" w:rsidRDefault="00F23221" w:rsidP="00F23221">
      <w:pPr>
        <w:jc w:val="center"/>
        <w:rPr>
          <w:rFonts w:ascii="Trebuchet MS" w:hAnsi="Trebuchet MS"/>
          <w:b/>
          <w:sz w:val="36"/>
          <w:szCs w:val="24"/>
        </w:rPr>
      </w:pPr>
      <w:r w:rsidRPr="008E67A2">
        <w:rPr>
          <w:rFonts w:ascii="Trebuchet MS" w:hAnsi="Trebuchet MS"/>
          <w:b/>
          <w:sz w:val="36"/>
          <w:szCs w:val="24"/>
        </w:rPr>
        <w:t>(ESRL)</w:t>
      </w:r>
    </w:p>
    <w:p w14:paraId="7D66E5AE" w14:textId="77777777" w:rsidR="00F23221" w:rsidRPr="008E67A2" w:rsidRDefault="00F23221" w:rsidP="00F23221">
      <w:pPr>
        <w:jc w:val="center"/>
        <w:rPr>
          <w:rFonts w:ascii="Trebuchet MS" w:hAnsi="Trebuchet MS"/>
          <w:b/>
          <w:sz w:val="24"/>
          <w:szCs w:val="24"/>
        </w:rPr>
      </w:pPr>
    </w:p>
    <w:p w14:paraId="6F863739" w14:textId="77777777" w:rsidR="00B26504" w:rsidRPr="008E67A2" w:rsidRDefault="00B26504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0B017F05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5372994A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6E6F87BE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47B77863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64924B40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5B5DB58F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350B0A96" w14:textId="77777777" w:rsidR="00F23221" w:rsidRPr="00E03C40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44"/>
          <w:szCs w:val="28"/>
          <w:lang w:eastAsia="en-GB"/>
        </w:rPr>
      </w:pPr>
    </w:p>
    <w:p w14:paraId="03E7BC6A" w14:textId="2C8F6E27" w:rsidR="00F23221" w:rsidRDefault="00E03C40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0"/>
          <w:szCs w:val="28"/>
          <w:lang w:eastAsia="en-GB"/>
        </w:rPr>
      </w:pPr>
      <w:r w:rsidRPr="00E03C40">
        <w:rPr>
          <w:rFonts w:ascii="Trebuchet MS" w:eastAsia="Times New Roman" w:hAnsi="Trebuchet MS" w:cs="Arial"/>
          <w:b/>
          <w:color w:val="222222"/>
          <w:sz w:val="32"/>
          <w:szCs w:val="28"/>
          <w:lang w:eastAsia="en-GB"/>
        </w:rPr>
        <w:t>The Equality Act 2010</w:t>
      </w:r>
    </w:p>
    <w:p w14:paraId="6C33F277" w14:textId="77777777" w:rsidR="00F22072" w:rsidRDefault="00F22072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0"/>
          <w:szCs w:val="28"/>
          <w:lang w:eastAsia="en-GB"/>
        </w:rPr>
      </w:pPr>
    </w:p>
    <w:p w14:paraId="1FE9B5C5" w14:textId="77777777" w:rsidR="00F22072" w:rsidRPr="008E67A2" w:rsidRDefault="00F22072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0"/>
          <w:szCs w:val="28"/>
          <w:lang w:eastAsia="en-GB"/>
        </w:rPr>
      </w:pPr>
    </w:p>
    <w:p w14:paraId="63EF07D4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0"/>
          <w:szCs w:val="28"/>
          <w:lang w:eastAsia="en-GB"/>
        </w:rPr>
      </w:pPr>
    </w:p>
    <w:p w14:paraId="640C31DF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0"/>
          <w:szCs w:val="28"/>
          <w:lang w:eastAsia="en-GB"/>
        </w:rPr>
      </w:pPr>
    </w:p>
    <w:p w14:paraId="42E21A65" w14:textId="77777777" w:rsidR="00712734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  <w:r w:rsidRPr="008E67A2">
        <w:rPr>
          <w:rFonts w:ascii="Trebuchet MS" w:eastAsia="Times New Roman" w:hAnsi="Trebuchet MS" w:cs="Arial"/>
          <w:noProof/>
          <w:color w:val="222222"/>
          <w:sz w:val="28"/>
          <w:szCs w:val="28"/>
          <w:lang w:eastAsia="en-GB"/>
        </w:rPr>
        <w:drawing>
          <wp:inline distT="0" distB="0" distL="0" distR="0" wp14:anchorId="60588341" wp14:editId="3EB03FFC">
            <wp:extent cx="2298700" cy="1682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B5B1F" w14:textId="77777777" w:rsidR="00712734" w:rsidRPr="008E67A2" w:rsidRDefault="00712734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6F83AA92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29339C0D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3BF65FB0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75C1A8EB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217A323D" w14:textId="77777777" w:rsidR="00F23221" w:rsidRPr="008E67A2" w:rsidRDefault="00F23221" w:rsidP="00F23221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  <w:r w:rsidRPr="008E67A2"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  <w:t>BUSINESS RATIONALE</w:t>
      </w:r>
    </w:p>
    <w:p w14:paraId="67E6132B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007A3DA1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6C9AF744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100CEB3C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5AA921A8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257D011A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479FF878" w14:textId="77777777" w:rsidR="00F23221" w:rsidRPr="008E67A2" w:rsidRDefault="00F23221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5F0BEC02" w14:textId="77777777" w:rsidR="00712734" w:rsidRPr="008E67A2" w:rsidRDefault="00712734" w:rsidP="00B2650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</w:p>
    <w:p w14:paraId="6769EF73" w14:textId="77777777" w:rsidR="00C72C6A" w:rsidRPr="008E67A2" w:rsidRDefault="00C72C6A">
      <w:pPr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</w:pPr>
      <w:r w:rsidRPr="008E67A2">
        <w:rPr>
          <w:rFonts w:ascii="Trebuchet MS" w:eastAsia="Times New Roman" w:hAnsi="Trebuchet MS" w:cs="Arial"/>
          <w:b/>
          <w:color w:val="222222"/>
          <w:sz w:val="28"/>
          <w:szCs w:val="28"/>
          <w:lang w:eastAsia="en-GB"/>
        </w:rPr>
        <w:br w:type="page"/>
      </w:r>
    </w:p>
    <w:p w14:paraId="6614101A" w14:textId="77777777" w:rsidR="00712734" w:rsidRPr="008E67A2" w:rsidRDefault="00B717D8" w:rsidP="007137EC">
      <w:pPr>
        <w:shd w:val="clear" w:color="auto" w:fill="FFFFFF"/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</w:pPr>
      <w:r w:rsidRPr="008E67A2"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  <w:lastRenderedPageBreak/>
        <w:t>Content</w:t>
      </w:r>
    </w:p>
    <w:p w14:paraId="2ABAA2EB" w14:textId="77777777" w:rsidR="00B717D8" w:rsidRPr="008E67A2" w:rsidRDefault="00B717D8" w:rsidP="007137EC">
      <w:pPr>
        <w:shd w:val="clear" w:color="auto" w:fill="FFFFFF"/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</w:pPr>
    </w:p>
    <w:p w14:paraId="36A046F9" w14:textId="5C0DF86C" w:rsidR="00E03C40" w:rsidRDefault="00D66198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r w:rsidRPr="008E67A2"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  <w:fldChar w:fldCharType="begin"/>
      </w:r>
      <w:r w:rsidRPr="008E67A2"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  <w:instrText xml:space="preserve"> TOC \o "1-4" \h \z \u </w:instrText>
      </w:r>
      <w:r w:rsidRPr="008E67A2"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  <w:fldChar w:fldCharType="separate"/>
      </w:r>
      <w:hyperlink w:anchor="_Toc506556119" w:history="1">
        <w:r w:rsidR="00E03C40" w:rsidRPr="00DD5432">
          <w:rPr>
            <w:rStyle w:val="Hyperlink"/>
            <w:rFonts w:ascii="Trebuchet MS" w:eastAsia="Times New Roman" w:hAnsi="Trebuchet MS"/>
            <w:noProof/>
            <w:lang w:eastAsia="en-GB"/>
          </w:rPr>
          <w:t>Introduction</w:t>
        </w:r>
        <w:r w:rsidR="00E03C40">
          <w:rPr>
            <w:noProof/>
            <w:webHidden/>
          </w:rPr>
          <w:tab/>
        </w:r>
        <w:r w:rsidR="00E03C40">
          <w:rPr>
            <w:noProof/>
            <w:webHidden/>
          </w:rPr>
          <w:fldChar w:fldCharType="begin"/>
        </w:r>
        <w:r w:rsidR="00E03C40">
          <w:rPr>
            <w:noProof/>
            <w:webHidden/>
          </w:rPr>
          <w:instrText xml:space="preserve"> PAGEREF _Toc506556119 \h </w:instrText>
        </w:r>
        <w:r w:rsidR="00E03C40">
          <w:rPr>
            <w:noProof/>
            <w:webHidden/>
          </w:rPr>
        </w:r>
        <w:r w:rsidR="00E03C40">
          <w:rPr>
            <w:noProof/>
            <w:webHidden/>
          </w:rPr>
          <w:fldChar w:fldCharType="separate"/>
        </w:r>
        <w:r w:rsidR="00E03C40">
          <w:rPr>
            <w:noProof/>
            <w:webHidden/>
          </w:rPr>
          <w:t>3</w:t>
        </w:r>
        <w:r w:rsidR="00E03C40">
          <w:rPr>
            <w:noProof/>
            <w:webHidden/>
          </w:rPr>
          <w:fldChar w:fldCharType="end"/>
        </w:r>
      </w:hyperlink>
    </w:p>
    <w:p w14:paraId="3DCF7E4C" w14:textId="547B5E25" w:rsidR="00E03C40" w:rsidRDefault="00E03C40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6556120" w:history="1">
        <w:r w:rsidRPr="00DD5432">
          <w:rPr>
            <w:rStyle w:val="Hyperlink"/>
            <w:rFonts w:ascii="Trebuchet MS" w:eastAsia="Times New Roman" w:hAnsi="Trebuchet MS"/>
            <w:noProof/>
            <w:lang w:eastAsia="en-GB"/>
          </w:rPr>
          <w:t>The Equality Act 2010 Law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_Toc506556120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2CFA28" w14:textId="139011A9" w:rsidR="00E03C40" w:rsidRDefault="00E03C40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6556121" w:history="1">
        <w:r w:rsidRPr="00DD5432">
          <w:rPr>
            <w:rStyle w:val="Hyperlink"/>
            <w:noProof/>
          </w:rPr>
          <w:t>Abating Employer Insensitivity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_Toc506556121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485B47C" w14:textId="0C0BCF6D" w:rsidR="00E03C40" w:rsidRDefault="00E03C40">
      <w:pPr>
        <w:pStyle w:val="TOC2"/>
        <w:tabs>
          <w:tab w:val="left" w:pos="66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6556122" w:history="1">
        <w:r w:rsidRPr="00DD5432">
          <w:rPr>
            <w:rStyle w:val="Hyperlink"/>
            <w:rFonts w:ascii="Trebuchet MS" w:eastAsia="Times New Roman" w:hAnsi="Trebuchet MS"/>
            <w:noProof/>
            <w:lang w:eastAsia="en-GB"/>
          </w:rPr>
          <w:t>1.</w:t>
        </w:r>
        <w:r>
          <w:rPr>
            <w:rFonts w:eastAsiaTheme="minorEastAsia"/>
            <w:noProof/>
            <w:lang w:eastAsia="en-GB"/>
          </w:rPr>
          <w:tab/>
        </w:r>
        <w:r w:rsidRPr="00DD5432">
          <w:rPr>
            <w:rStyle w:val="Hyperlink"/>
            <w:rFonts w:ascii="Trebuchet MS" w:eastAsia="Times New Roman" w:hAnsi="Trebuchet MS"/>
            <w:noProof/>
            <w:lang w:eastAsia="en-GB"/>
          </w:rPr>
          <w:t>The Role of Employers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_Toc506556122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69DEB9" w14:textId="0576283E" w:rsidR="00E03C40" w:rsidRDefault="00E03C40">
      <w:pPr>
        <w:pStyle w:val="TOC2"/>
        <w:tabs>
          <w:tab w:val="left" w:pos="66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6556123" w:history="1">
        <w:r w:rsidRPr="00DD5432">
          <w:rPr>
            <w:rStyle w:val="Hyperlink"/>
            <w:rFonts w:ascii="Trebuchet MS" w:hAnsi="Trebuchet MS"/>
            <w:noProof/>
          </w:rPr>
          <w:t>2.</w:t>
        </w:r>
        <w:r>
          <w:rPr>
            <w:rFonts w:eastAsiaTheme="minorEastAsia"/>
            <w:noProof/>
            <w:lang w:eastAsia="en-GB"/>
          </w:rPr>
          <w:tab/>
        </w:r>
        <w:r w:rsidRPr="00DD5432">
          <w:rPr>
            <w:rStyle w:val="Hyperlink"/>
            <w:rFonts w:ascii="Trebuchet MS" w:hAnsi="Trebuchet MS"/>
            <w:noProof/>
          </w:rPr>
          <w:t>The Role of Employees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_Toc506556123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924BB3" w14:textId="641CFD3D" w:rsidR="00E03C40" w:rsidRDefault="00E03C40">
      <w:pPr>
        <w:pStyle w:val="TOC2"/>
        <w:tabs>
          <w:tab w:val="left" w:pos="66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6556124" w:history="1">
        <w:r w:rsidRPr="00DD5432">
          <w:rPr>
            <w:rStyle w:val="Hyperlink"/>
            <w:rFonts w:ascii="Trebuchet MS" w:eastAsia="Times New Roman" w:hAnsi="Trebuchet MS"/>
            <w:noProof/>
            <w:lang w:eastAsia="en-GB"/>
          </w:rPr>
          <w:t>3.</w:t>
        </w:r>
        <w:r>
          <w:rPr>
            <w:rFonts w:eastAsiaTheme="minorEastAsia"/>
            <w:noProof/>
            <w:lang w:eastAsia="en-GB"/>
          </w:rPr>
          <w:tab/>
        </w:r>
        <w:r w:rsidRPr="00DD5432">
          <w:rPr>
            <w:rStyle w:val="Hyperlink"/>
            <w:rFonts w:ascii="Trebuchet MS" w:eastAsia="Times New Roman" w:hAnsi="Trebuchet MS"/>
            <w:noProof/>
            <w:lang w:eastAsia="en-GB"/>
          </w:rPr>
          <w:t>The Role of the Legislature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_Toc506556124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76F12D4" w14:textId="25011C8C" w:rsidR="00E03C40" w:rsidRDefault="00E03C40">
      <w:pPr>
        <w:pStyle w:val="TOC2"/>
        <w:tabs>
          <w:tab w:val="left" w:pos="66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6556125" w:history="1">
        <w:r w:rsidRPr="00DD5432">
          <w:rPr>
            <w:rStyle w:val="Hyperlink"/>
            <w:rFonts w:ascii="Trebuchet MS" w:eastAsia="Times New Roman" w:hAnsi="Trebuchet MS"/>
            <w:noProof/>
            <w:lang w:eastAsia="en-GB"/>
          </w:rPr>
          <w:t>4.</w:t>
        </w:r>
        <w:r>
          <w:rPr>
            <w:rFonts w:eastAsiaTheme="minorEastAsia"/>
            <w:noProof/>
            <w:lang w:eastAsia="en-GB"/>
          </w:rPr>
          <w:tab/>
        </w:r>
        <w:r w:rsidRPr="00DD5432">
          <w:rPr>
            <w:rStyle w:val="Hyperlink"/>
            <w:rFonts w:ascii="Trebuchet MS" w:eastAsia="Times New Roman" w:hAnsi="Trebuchet MS"/>
            <w:noProof/>
            <w:lang w:eastAsia="en-GB"/>
          </w:rPr>
          <w:t>The Business Role of ESRL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_Toc506556125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CBB883D" w14:textId="6931CD5D" w:rsidR="002824BE" w:rsidRPr="008E67A2" w:rsidRDefault="00D66198" w:rsidP="007137EC">
      <w:pPr>
        <w:shd w:val="clear" w:color="auto" w:fill="FFFFFF"/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</w:pPr>
      <w:r w:rsidRPr="008E67A2"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  <w:fldChar w:fldCharType="end"/>
      </w:r>
      <w:bookmarkStart w:id="0" w:name="_GoBack"/>
      <w:bookmarkEnd w:id="0"/>
    </w:p>
    <w:p w14:paraId="51665D45" w14:textId="77777777" w:rsidR="002824BE" w:rsidRPr="008E67A2" w:rsidRDefault="002824BE">
      <w:pPr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</w:pPr>
      <w:r w:rsidRPr="008E67A2"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  <w:br w:type="page"/>
      </w:r>
    </w:p>
    <w:p w14:paraId="5F14FEC6" w14:textId="77777777" w:rsidR="002824BE" w:rsidRPr="008E67A2" w:rsidRDefault="002824BE" w:rsidP="002824BE">
      <w:pPr>
        <w:pStyle w:val="Heading1"/>
        <w:rPr>
          <w:rFonts w:ascii="Trebuchet MS" w:eastAsia="Times New Roman" w:hAnsi="Trebuchet MS"/>
          <w:sz w:val="24"/>
          <w:szCs w:val="24"/>
          <w:lang w:eastAsia="en-GB"/>
        </w:rPr>
      </w:pPr>
      <w:bookmarkStart w:id="1" w:name="_Toc506556119"/>
      <w:r w:rsidRPr="008E67A2">
        <w:rPr>
          <w:rFonts w:ascii="Trebuchet MS" w:eastAsia="Times New Roman" w:hAnsi="Trebuchet MS"/>
          <w:sz w:val="24"/>
          <w:szCs w:val="24"/>
          <w:lang w:eastAsia="en-GB"/>
        </w:rPr>
        <w:lastRenderedPageBreak/>
        <w:t>Introduction</w:t>
      </w:r>
      <w:bookmarkEnd w:id="1"/>
    </w:p>
    <w:p w14:paraId="437EE28C" w14:textId="77777777" w:rsidR="002824BE" w:rsidRPr="008E67A2" w:rsidRDefault="002824BE" w:rsidP="002824BE">
      <w:pPr>
        <w:spacing w:after="0"/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</w:p>
    <w:p w14:paraId="75C5EEEC" w14:textId="77777777" w:rsidR="002824BE" w:rsidRPr="008E67A2" w:rsidRDefault="00387FF4" w:rsidP="002824BE">
      <w:pPr>
        <w:spacing w:after="0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The Equality Act 2010 asks</w:t>
      </w:r>
      <w:r w:rsidR="002824BE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Crown Ministers and Strategic Decis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ion-takers to advance employers’ sensitivity to protected characteristics</w:t>
      </w:r>
      <w:r w:rsidR="002824BE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. </w:t>
      </w:r>
      <w:r w:rsidR="00304AD4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</w:t>
      </w:r>
      <w:proofErr w:type="gramStart"/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So</w:t>
      </w:r>
      <w:proofErr w:type="gramEnd"/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w</w:t>
      </w:r>
      <w:r w:rsidR="002824BE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hat </w:t>
      </w:r>
      <w:r w:rsidR="00304AD4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is the role of different economic agents in society </w:t>
      </w:r>
      <w:r w:rsidR="002824BE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to </w:t>
      </w:r>
      <w:r w:rsidR="00190A7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help employers become </w:t>
      </w:r>
      <w:r w:rsidR="002824BE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sensitivity to the protected characteristics of the Equality Act 2010</w:t>
      </w:r>
      <w:r w:rsidR="00A85F6F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 </w:t>
      </w:r>
      <w:r w:rsidR="00304AD4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D</w:t>
      </w:r>
      <w:r w:rsidR="002824BE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ifferent economic agents have a role to play to address employer insen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sitivity</w:t>
      </w:r>
      <w:r w:rsidR="002824BE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.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 </w:t>
      </w:r>
      <w:r w:rsidR="002824BE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ESRL’s business role is providing a platform for transparency in employment</w:t>
      </w:r>
      <w:r w:rsidR="00304AD4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</w:t>
      </w:r>
      <w:r w:rsidR="002824BE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enabling society to hold employers socially accountable for how they </w:t>
      </w:r>
      <w:r w:rsidR="00B77F38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use </w:t>
      </w:r>
      <w:r w:rsidR="002824BE" w:rsidRPr="008E67A2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society’s human capital.</w:t>
      </w:r>
    </w:p>
    <w:p w14:paraId="456BBA50" w14:textId="77777777" w:rsidR="002824BE" w:rsidRPr="008E67A2" w:rsidRDefault="002824BE" w:rsidP="002824BE">
      <w:pPr>
        <w:spacing w:after="0"/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</w:p>
    <w:p w14:paraId="50D75C2A" w14:textId="77777777" w:rsidR="002824BE" w:rsidRPr="008E67A2" w:rsidRDefault="002824BE" w:rsidP="002824BE">
      <w:pPr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</w:pPr>
      <w:r w:rsidRPr="008E67A2">
        <w:rPr>
          <w:rFonts w:ascii="Trebuchet MS" w:eastAsia="Times New Roman" w:hAnsi="Trebuchet MS" w:cs="Arial"/>
          <w:b/>
          <w:color w:val="222222"/>
          <w:sz w:val="24"/>
          <w:szCs w:val="24"/>
          <w:lang w:eastAsia="en-GB"/>
        </w:rPr>
        <w:br w:type="page"/>
      </w:r>
    </w:p>
    <w:p w14:paraId="70F78D93" w14:textId="77777777" w:rsidR="0029299A" w:rsidRPr="008E67A2" w:rsidRDefault="003B31EB" w:rsidP="00D66198">
      <w:pPr>
        <w:pStyle w:val="Heading1"/>
        <w:rPr>
          <w:rFonts w:ascii="Trebuchet MS" w:eastAsia="Times New Roman" w:hAnsi="Trebuchet MS"/>
          <w:sz w:val="24"/>
          <w:szCs w:val="24"/>
          <w:lang w:eastAsia="en-GB"/>
        </w:rPr>
      </w:pPr>
      <w:bookmarkStart w:id="2" w:name="_Toc371706849"/>
      <w:bookmarkStart w:id="3" w:name="_Toc506556120"/>
      <w:r w:rsidRPr="008E67A2">
        <w:rPr>
          <w:rFonts w:ascii="Trebuchet MS" w:eastAsia="Times New Roman" w:hAnsi="Trebuchet MS"/>
          <w:sz w:val="24"/>
          <w:szCs w:val="24"/>
          <w:lang w:eastAsia="en-GB"/>
        </w:rPr>
        <w:lastRenderedPageBreak/>
        <w:t xml:space="preserve">The </w:t>
      </w:r>
      <w:r w:rsidR="00D66198" w:rsidRPr="008E67A2">
        <w:rPr>
          <w:rFonts w:ascii="Trebuchet MS" w:eastAsia="Times New Roman" w:hAnsi="Trebuchet MS"/>
          <w:sz w:val="24"/>
          <w:szCs w:val="24"/>
          <w:lang w:eastAsia="en-GB"/>
        </w:rPr>
        <w:t xml:space="preserve">Equality Act 2010 </w:t>
      </w:r>
      <w:r w:rsidRPr="008E67A2">
        <w:rPr>
          <w:rFonts w:ascii="Trebuchet MS" w:eastAsia="Times New Roman" w:hAnsi="Trebuchet MS"/>
          <w:sz w:val="24"/>
          <w:szCs w:val="24"/>
          <w:lang w:eastAsia="en-GB"/>
        </w:rPr>
        <w:t>Law</w:t>
      </w:r>
      <w:bookmarkEnd w:id="2"/>
      <w:bookmarkEnd w:id="3"/>
      <w:r w:rsidR="00A040BA" w:rsidRPr="008E67A2">
        <w:rPr>
          <w:rFonts w:ascii="Trebuchet MS" w:eastAsia="Times New Roman" w:hAnsi="Trebuchet MS"/>
          <w:sz w:val="24"/>
          <w:szCs w:val="24"/>
          <w:lang w:eastAsia="en-GB"/>
        </w:rPr>
        <w:t xml:space="preserve"> </w:t>
      </w:r>
    </w:p>
    <w:p w14:paraId="63FF23D5" w14:textId="77777777" w:rsidR="0090128F" w:rsidRPr="008E67A2" w:rsidRDefault="0090128F" w:rsidP="00361F21">
      <w:pPr>
        <w:shd w:val="clear" w:color="auto" w:fill="FFFFFF"/>
        <w:jc w:val="both"/>
        <w:rPr>
          <w:rFonts w:ascii="Trebuchet MS" w:eastAsia="Times New Roman" w:hAnsi="Trebuchet MS" w:cs="Arial"/>
          <w:bCs/>
          <w:color w:val="1D1D1D"/>
          <w:sz w:val="24"/>
          <w:szCs w:val="24"/>
          <w:lang w:eastAsia="en-GB"/>
        </w:rPr>
      </w:pPr>
    </w:p>
    <w:p w14:paraId="4E0E7DB7" w14:textId="77777777" w:rsidR="00CB1C9F" w:rsidRPr="008E67A2" w:rsidRDefault="00304AD4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sz w:val="24"/>
          <w:szCs w:val="24"/>
          <w:lang w:eastAsia="en-GB"/>
        </w:rPr>
        <w:t>The law</w:t>
      </w:r>
      <w:r w:rsidR="00810B79" w:rsidRPr="008E67A2">
        <w:rPr>
          <w:rFonts w:ascii="Trebuchet MS" w:eastAsia="Times New Roman" w:hAnsi="Trebuchet MS" w:cs="Arial"/>
          <w:sz w:val="24"/>
          <w:szCs w:val="24"/>
          <w:lang w:eastAsia="en-GB"/>
        </w:rPr>
        <w:t>:</w:t>
      </w:r>
    </w:p>
    <w:p w14:paraId="1CF9BF6E" w14:textId="77777777" w:rsidR="00CB1C9F" w:rsidRPr="008E67A2" w:rsidRDefault="00CB1C9F" w:rsidP="007B3089">
      <w:pPr>
        <w:ind w:left="284" w:right="379"/>
        <w:jc w:val="both"/>
        <w:rPr>
          <w:rFonts w:ascii="Trebuchet MS" w:eastAsia="Times New Roman" w:hAnsi="Trebuchet MS" w:cs="Arial"/>
          <w:i/>
          <w:sz w:val="24"/>
          <w:szCs w:val="24"/>
          <w:lang w:eastAsia="en-GB"/>
        </w:rPr>
      </w:pP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‘</w:t>
      </w:r>
      <w:r w:rsidRPr="008E67A2">
        <w:rPr>
          <w:rFonts w:ascii="Trebuchet MS" w:eastAsia="Times New Roman" w:hAnsi="Trebuchet MS" w:cs="Arial"/>
          <w:i/>
          <w:sz w:val="24"/>
          <w:szCs w:val="24"/>
          <w:lang w:eastAsia="en-GB"/>
        </w:rPr>
        <w:t>require Ministers of the Crown and others when making strategic decisions about the exercise of their functions to have regard to the desirability of reducing socio-economic inequalities; to reform and harmonise equality law and restate the greater part of the enactments relating to discrimination and harassment related to certain personal characteristics; to enable certain employers to be required to publish information about the differences in pay between male and female employees; to prohibit victimisation in certain circumstances; to require the exercise of certain functions to be with regard to the need to eliminate discrimination and other prohibited conduct; to enable duties to be imposed in relation to the exercise of public procurement functions; to increase equality of opportunity; to amend the law relating to rights and responsibilities in family relationships; and for connected purposes’</w:t>
      </w:r>
    </w:p>
    <w:p w14:paraId="3431B2A8" w14:textId="77777777" w:rsidR="006A3AC5" w:rsidRPr="008E67A2" w:rsidRDefault="006A3AC5" w:rsidP="007B3089">
      <w:pPr>
        <w:pStyle w:val="body"/>
        <w:spacing w:before="0" w:beforeAutospacing="0" w:after="120" w:afterAutospacing="0" w:line="276" w:lineRule="auto"/>
        <w:jc w:val="both"/>
        <w:rPr>
          <w:rFonts w:ascii="Trebuchet MS" w:hAnsi="Trebuchet MS" w:cs="Arial"/>
        </w:rPr>
      </w:pPr>
    </w:p>
    <w:p w14:paraId="719FACBF" w14:textId="77777777" w:rsidR="00FF6FEA" w:rsidRPr="008E67A2" w:rsidRDefault="00304AD4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It </w:t>
      </w:r>
      <w:r w:rsidR="00FF6FEA"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itemises </w:t>
      </w:r>
      <w:r w:rsidR="00E90F75"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the following </w:t>
      </w:r>
      <w:r w:rsidR="008E67A2">
        <w:rPr>
          <w:rFonts w:ascii="Trebuchet MS" w:eastAsia="Times New Roman" w:hAnsi="Trebuchet MS" w:cs="Arial"/>
          <w:sz w:val="24"/>
          <w:szCs w:val="24"/>
          <w:lang w:eastAsia="en-GB"/>
        </w:rPr>
        <w:t>protected characteristics</w:t>
      </w:r>
      <w:r w:rsidR="00FF6FEA" w:rsidRPr="008E67A2">
        <w:rPr>
          <w:rFonts w:ascii="Trebuchet MS" w:eastAsia="Times New Roman" w:hAnsi="Trebuchet MS" w:cs="Arial"/>
          <w:sz w:val="24"/>
          <w:szCs w:val="24"/>
          <w:lang w:eastAsia="en-GB"/>
        </w:rPr>
        <w:t>:</w:t>
      </w:r>
    </w:p>
    <w:p w14:paraId="15B313CD" w14:textId="77777777" w:rsidR="00FF6FEA" w:rsidRPr="008E67A2" w:rsidRDefault="00FF6FEA" w:rsidP="007B3089">
      <w:pPr>
        <w:pStyle w:val="body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t>Race</w:t>
      </w:r>
    </w:p>
    <w:p w14:paraId="120B4F0E" w14:textId="77777777" w:rsidR="00FF6FEA" w:rsidRPr="008E67A2" w:rsidRDefault="00FF6FEA" w:rsidP="007B3089">
      <w:pPr>
        <w:pStyle w:val="body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t xml:space="preserve">Sex </w:t>
      </w:r>
    </w:p>
    <w:p w14:paraId="56E48CAC" w14:textId="77777777" w:rsidR="00FF6FEA" w:rsidRPr="008E67A2" w:rsidRDefault="00FF6FEA" w:rsidP="007B3089">
      <w:pPr>
        <w:pStyle w:val="body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t>Gender Reassignment</w:t>
      </w:r>
    </w:p>
    <w:p w14:paraId="18F5925B" w14:textId="77777777" w:rsidR="00FF6FEA" w:rsidRPr="008E67A2" w:rsidRDefault="00FF6FEA" w:rsidP="007B3089">
      <w:pPr>
        <w:pStyle w:val="body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t>Sexual Orientation</w:t>
      </w:r>
    </w:p>
    <w:p w14:paraId="1FFC67CE" w14:textId="77777777" w:rsidR="00FF6FEA" w:rsidRPr="008E67A2" w:rsidRDefault="00FF6FEA" w:rsidP="007B3089">
      <w:pPr>
        <w:pStyle w:val="body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t>Age</w:t>
      </w:r>
    </w:p>
    <w:p w14:paraId="31270CE6" w14:textId="77777777" w:rsidR="00FF6FEA" w:rsidRPr="008E67A2" w:rsidRDefault="00FF6FEA" w:rsidP="007B3089">
      <w:pPr>
        <w:pStyle w:val="body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t>Pregnancy and maternity</w:t>
      </w:r>
    </w:p>
    <w:p w14:paraId="42269CD6" w14:textId="77777777" w:rsidR="00FF6FEA" w:rsidRPr="008E67A2" w:rsidRDefault="00FF6FEA" w:rsidP="007B3089">
      <w:pPr>
        <w:pStyle w:val="body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t>Religion or belief</w:t>
      </w:r>
    </w:p>
    <w:p w14:paraId="5E5B89F1" w14:textId="77777777" w:rsidR="00FF6FEA" w:rsidRPr="008E67A2" w:rsidRDefault="00FF6FEA" w:rsidP="007B3089">
      <w:pPr>
        <w:pStyle w:val="body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t xml:space="preserve">Marriage and civil partnership </w:t>
      </w:r>
    </w:p>
    <w:p w14:paraId="78C7D856" w14:textId="77777777" w:rsidR="00FF6FEA" w:rsidRPr="008E67A2" w:rsidRDefault="00FF6FEA" w:rsidP="007B3089">
      <w:pPr>
        <w:pStyle w:val="body"/>
        <w:numPr>
          <w:ilvl w:val="0"/>
          <w:numId w:val="22"/>
        </w:numPr>
        <w:spacing w:before="0" w:beforeAutospacing="0" w:after="120" w:afterAutospacing="0" w:line="276" w:lineRule="auto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t>Disability</w:t>
      </w:r>
    </w:p>
    <w:p w14:paraId="25C349C3" w14:textId="77777777" w:rsidR="009C1E87" w:rsidRDefault="009C1E87" w:rsidP="009C1E87">
      <w:pPr>
        <w:jc w:val="both"/>
        <w:rPr>
          <w:rFonts w:ascii="Trebuchet MS" w:hAnsi="Trebuchet MS" w:cs="Arial"/>
        </w:rPr>
      </w:pPr>
      <w:bookmarkStart w:id="4" w:name="_Toc371706854"/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The Act alig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>ns the protected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characteristics as prevalent in employment that can help eliminate anti-equalities behaviour and practice in employment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 and </w:t>
      </w:r>
      <w:r w:rsidRPr="008E67A2">
        <w:rPr>
          <w:rFonts w:ascii="Trebuchet MS" w:hAnsi="Trebuchet MS" w:cs="Arial"/>
          <w:sz w:val="24"/>
          <w:szCs w:val="24"/>
        </w:rPr>
        <w:t>implores employers to be sensitive to society’s protected chara</w:t>
      </w:r>
      <w:r>
        <w:rPr>
          <w:rFonts w:ascii="Trebuchet MS" w:hAnsi="Trebuchet MS" w:cs="Arial"/>
          <w:sz w:val="24"/>
          <w:szCs w:val="24"/>
        </w:rPr>
        <w:t>cteristics</w:t>
      </w:r>
      <w:r w:rsidRPr="008E67A2">
        <w:rPr>
          <w:rFonts w:ascii="Trebuchet MS" w:hAnsi="Trebuchet MS" w:cs="Arial"/>
          <w:sz w:val="24"/>
          <w:szCs w:val="24"/>
        </w:rPr>
        <w:t>.</w:t>
      </w:r>
      <w:r>
        <w:rPr>
          <w:rFonts w:ascii="Trebuchet MS" w:hAnsi="Trebuchet MS" w:cs="Arial"/>
          <w:sz w:val="24"/>
          <w:szCs w:val="24"/>
        </w:rPr>
        <w:t xml:space="preserve">  </w:t>
      </w:r>
    </w:p>
    <w:p w14:paraId="4FF194AE" w14:textId="77777777" w:rsidR="009C1E87" w:rsidRDefault="009C1E87" w:rsidP="009C1E87"/>
    <w:p w14:paraId="01E1C50F" w14:textId="77777777" w:rsidR="00387FF4" w:rsidRDefault="00387FF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D518EDD" w14:textId="77777777" w:rsidR="00084701" w:rsidRPr="008E67A2" w:rsidRDefault="00DB3CAE" w:rsidP="009C1E87">
      <w:pPr>
        <w:pStyle w:val="Heading1"/>
      </w:pPr>
      <w:bookmarkStart w:id="5" w:name="_Toc506556121"/>
      <w:r>
        <w:lastRenderedPageBreak/>
        <w:t xml:space="preserve">Abating </w:t>
      </w:r>
      <w:r w:rsidR="00F23221" w:rsidRPr="008E67A2">
        <w:t>Employer Insensitivity</w:t>
      </w:r>
      <w:bookmarkEnd w:id="5"/>
    </w:p>
    <w:p w14:paraId="4CE299E4" w14:textId="77777777" w:rsidR="00084701" w:rsidRDefault="00084701" w:rsidP="007B3089">
      <w:pPr>
        <w:pStyle w:val="body"/>
        <w:spacing w:before="0" w:beforeAutospacing="0" w:after="120" w:afterAutospacing="0" w:line="276" w:lineRule="auto"/>
        <w:jc w:val="both"/>
        <w:rPr>
          <w:rFonts w:ascii="Trebuchet MS" w:hAnsi="Trebuchet MS" w:cs="Arial"/>
        </w:rPr>
      </w:pPr>
    </w:p>
    <w:p w14:paraId="2C3695FF" w14:textId="77777777" w:rsidR="00DF1C96" w:rsidRPr="00AA3064" w:rsidRDefault="00DF1C96" w:rsidP="00DF1C96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hAnsi="Trebuchet MS" w:cs="Arial"/>
          <w:sz w:val="24"/>
          <w:szCs w:val="24"/>
          <w:shd w:val="clear" w:color="auto" w:fill="FFFFFF"/>
        </w:rPr>
        <w:t>Every Employer</w:t>
      </w:r>
      <w:r>
        <w:rPr>
          <w:rStyle w:val="FootnoteReference"/>
          <w:rFonts w:ascii="Trebuchet MS" w:hAnsi="Trebuchet MS" w:cs="Arial"/>
          <w:sz w:val="24"/>
          <w:szCs w:val="24"/>
          <w:shd w:val="clear" w:color="auto" w:fill="FFFFFF"/>
        </w:rPr>
        <w:footnoteReference w:id="1"/>
      </w:r>
      <w:r>
        <w:rPr>
          <w:rFonts w:ascii="Trebuchet MS" w:hAnsi="Trebuchet MS" w:cs="Arial"/>
          <w:sz w:val="24"/>
          <w:szCs w:val="24"/>
          <w:shd w:val="clear" w:color="auto" w:fill="FFFFFF"/>
        </w:rPr>
        <w:t xml:space="preserve"> whatever the size of their workforce h</w:t>
      </w:r>
      <w:r w:rsidRPr="008E67A2">
        <w:rPr>
          <w:rFonts w:ascii="Trebuchet MS" w:hAnsi="Trebuchet MS" w:cs="Arial"/>
          <w:sz w:val="24"/>
          <w:szCs w:val="24"/>
          <w:shd w:val="clear" w:color="auto" w:fill="FFFFFF"/>
        </w:rPr>
        <w:t>as a moral duty, distinct from the legal duty imposed by the Equality Act 2010</w:t>
      </w:r>
      <w:r>
        <w:rPr>
          <w:rFonts w:ascii="Trebuchet MS" w:hAnsi="Trebuchet MS" w:cs="Arial"/>
          <w:sz w:val="24"/>
          <w:szCs w:val="24"/>
          <w:shd w:val="clear" w:color="auto" w:fill="FFFFFF"/>
        </w:rPr>
        <w:t>:</w:t>
      </w:r>
      <w:r w:rsidRPr="008E67A2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</w:p>
    <w:p w14:paraId="45252D21" w14:textId="77777777" w:rsidR="00DF1C96" w:rsidRPr="008E67A2" w:rsidRDefault="00DF1C96" w:rsidP="00DF1C96">
      <w:pPr>
        <w:pStyle w:val="ListParagraph"/>
        <w:numPr>
          <w:ilvl w:val="0"/>
          <w:numId w:val="14"/>
        </w:numPr>
        <w:spacing w:after="0"/>
        <w:ind w:left="425" w:hanging="425"/>
        <w:contextualSpacing w:val="0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8E67A2">
        <w:rPr>
          <w:rFonts w:ascii="Trebuchet MS" w:hAnsi="Trebuchet MS" w:cs="Arial"/>
          <w:sz w:val="24"/>
          <w:szCs w:val="24"/>
          <w:shd w:val="clear" w:color="auto" w:fill="FFFFFF"/>
        </w:rPr>
        <w:t>to be</w:t>
      </w:r>
      <w:r>
        <w:rPr>
          <w:rFonts w:ascii="Trebuchet MS" w:hAnsi="Trebuchet MS" w:cs="Arial"/>
          <w:sz w:val="24"/>
          <w:szCs w:val="24"/>
          <w:shd w:val="clear" w:color="auto" w:fill="FFFFFF"/>
        </w:rPr>
        <w:t>come</w:t>
      </w:r>
      <w:r w:rsidRPr="008E67A2">
        <w:rPr>
          <w:rFonts w:ascii="Trebuchet MS" w:hAnsi="Trebuchet MS" w:cs="Arial"/>
          <w:sz w:val="24"/>
          <w:szCs w:val="24"/>
          <w:shd w:val="clear" w:color="auto" w:fill="FFFFFF"/>
        </w:rPr>
        <w:t xml:space="preserve"> sensitive to all the protected characteristics in employment;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</w:p>
    <w:p w14:paraId="3E412E7E" w14:textId="77777777" w:rsidR="00DF1C96" w:rsidRPr="008E67A2" w:rsidRDefault="00DF1C96" w:rsidP="00DF1C96">
      <w:pPr>
        <w:pStyle w:val="ListParagraph"/>
        <w:numPr>
          <w:ilvl w:val="0"/>
          <w:numId w:val="14"/>
        </w:numPr>
        <w:spacing w:after="0"/>
        <w:ind w:left="425" w:hanging="425"/>
        <w:contextualSpacing w:val="0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to be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>come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Transparent in their Employment Practices and </w:t>
      </w:r>
    </w:p>
    <w:p w14:paraId="65A17A01" w14:textId="77777777" w:rsidR="00DF1C96" w:rsidRPr="008E67A2" w:rsidRDefault="00DF1C96" w:rsidP="00DF1C96">
      <w:pPr>
        <w:pStyle w:val="ListParagraph"/>
        <w:numPr>
          <w:ilvl w:val="0"/>
          <w:numId w:val="14"/>
        </w:numPr>
        <w:ind w:left="426" w:hanging="426"/>
        <w:contextualSpacing w:val="0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to be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>come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Equalities Employers</w:t>
      </w:r>
    </w:p>
    <w:p w14:paraId="7ED25738" w14:textId="77777777" w:rsidR="00DF1C96" w:rsidRDefault="00DF1C96" w:rsidP="007B3089">
      <w:pPr>
        <w:pStyle w:val="body"/>
        <w:spacing w:before="0" w:beforeAutospacing="0" w:after="120" w:afterAutospacing="0" w:line="276" w:lineRule="auto"/>
        <w:jc w:val="both"/>
        <w:rPr>
          <w:rFonts w:ascii="Trebuchet MS" w:hAnsi="Trebuchet MS" w:cs="Arial"/>
        </w:rPr>
      </w:pPr>
    </w:p>
    <w:p w14:paraId="6668FDE5" w14:textId="77777777" w:rsidR="009C1E87" w:rsidRPr="008E67A2" w:rsidRDefault="009C1E87" w:rsidP="007B3089">
      <w:pPr>
        <w:pStyle w:val="body"/>
        <w:spacing w:before="0" w:beforeAutospacing="0" w:after="120" w:afterAutospacing="0"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Different economic agents have different roles to play to help employers to become </w:t>
      </w:r>
      <w:r w:rsidRPr="008E67A2">
        <w:rPr>
          <w:rFonts w:ascii="Trebuchet MS" w:hAnsi="Trebuchet MS" w:cs="Arial"/>
        </w:rPr>
        <w:t>sensitive to society’s protected chara</w:t>
      </w:r>
      <w:r>
        <w:rPr>
          <w:rFonts w:ascii="Trebuchet MS" w:hAnsi="Trebuchet MS" w:cs="Arial"/>
        </w:rPr>
        <w:t>cteristics</w:t>
      </w:r>
      <w:r w:rsidRPr="008E67A2">
        <w:rPr>
          <w:rFonts w:ascii="Trebuchet MS" w:hAnsi="Trebuchet MS" w:cs="Arial"/>
        </w:rPr>
        <w:t>.</w:t>
      </w:r>
    </w:p>
    <w:bookmarkEnd w:id="4"/>
    <w:p w14:paraId="64E13273" w14:textId="77777777" w:rsidR="00963271" w:rsidRPr="008E67A2" w:rsidRDefault="00963271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14:paraId="2E595413" w14:textId="77777777" w:rsidR="00963271" w:rsidRPr="008E67A2" w:rsidRDefault="00DB3CAE" w:rsidP="007B3089">
      <w:pPr>
        <w:pStyle w:val="Heading2"/>
        <w:numPr>
          <w:ilvl w:val="0"/>
          <w:numId w:val="28"/>
        </w:numPr>
        <w:rPr>
          <w:rFonts w:ascii="Trebuchet MS" w:eastAsia="Times New Roman" w:hAnsi="Trebuchet MS"/>
          <w:color w:val="auto"/>
          <w:sz w:val="24"/>
          <w:szCs w:val="24"/>
          <w:lang w:eastAsia="en-GB"/>
        </w:rPr>
      </w:pPr>
      <w:bookmarkStart w:id="6" w:name="_Toc506556122"/>
      <w:r>
        <w:rPr>
          <w:rFonts w:ascii="Trebuchet MS" w:eastAsia="Times New Roman" w:hAnsi="Trebuchet MS"/>
          <w:color w:val="auto"/>
          <w:sz w:val="24"/>
          <w:szCs w:val="24"/>
          <w:lang w:eastAsia="en-GB"/>
        </w:rPr>
        <w:t xml:space="preserve">The Role of </w:t>
      </w:r>
      <w:r w:rsidR="00963271" w:rsidRPr="008E67A2">
        <w:rPr>
          <w:rFonts w:ascii="Trebuchet MS" w:eastAsia="Times New Roman" w:hAnsi="Trebuchet MS"/>
          <w:color w:val="auto"/>
          <w:sz w:val="24"/>
          <w:szCs w:val="24"/>
          <w:lang w:eastAsia="en-GB"/>
        </w:rPr>
        <w:t>Employers</w:t>
      </w:r>
      <w:bookmarkEnd w:id="6"/>
    </w:p>
    <w:p w14:paraId="33FB1EC4" w14:textId="77777777" w:rsidR="00640CFB" w:rsidRPr="008E67A2" w:rsidRDefault="00640CFB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14:paraId="43D81214" w14:textId="77777777" w:rsidR="00963271" w:rsidRPr="008E67A2" w:rsidRDefault="00963271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Employers should move or dismount, albeit reluctantly from fixation with social responsibility as good enough to that of social accountability</w:t>
      </w:r>
      <w:r w:rsidR="00DB3CAE">
        <w:rPr>
          <w:rFonts w:ascii="Trebuchet MS" w:eastAsia="Times New Roman" w:hAnsi="Trebuchet MS" w:cs="Arial"/>
          <w:sz w:val="24"/>
          <w:szCs w:val="24"/>
          <w:lang w:eastAsia="en-GB"/>
        </w:rPr>
        <w:t>.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 </w:t>
      </w:r>
      <w:r w:rsidR="00DB3CAE">
        <w:rPr>
          <w:rFonts w:ascii="Trebuchet MS" w:eastAsia="Times New Roman" w:hAnsi="Trebuchet MS" w:cs="Arial"/>
          <w:sz w:val="24"/>
          <w:szCs w:val="24"/>
          <w:lang w:eastAsia="en-GB"/>
        </w:rPr>
        <w:t xml:space="preserve">Such 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Employers </w:t>
      </w:r>
      <w:r w:rsidR="00DB3CAE">
        <w:rPr>
          <w:rFonts w:ascii="Trebuchet MS" w:eastAsia="Times New Roman" w:hAnsi="Trebuchet MS" w:cs="Arial"/>
          <w:sz w:val="24"/>
          <w:szCs w:val="24"/>
          <w:lang w:eastAsia="en-GB"/>
        </w:rPr>
        <w:t>who embrace social accountability are more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likely to develop policies</w:t>
      </w:r>
      <w:r w:rsidR="00DB3CAE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and practices that advance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:</w:t>
      </w:r>
    </w:p>
    <w:p w14:paraId="533A710A" w14:textId="77777777" w:rsidR="00963271" w:rsidRPr="008E67A2" w:rsidRDefault="00DB3CAE" w:rsidP="007B3089">
      <w:pPr>
        <w:pStyle w:val="ListParagraph"/>
        <w:numPr>
          <w:ilvl w:val="0"/>
          <w:numId w:val="23"/>
        </w:num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A</w:t>
      </w:r>
      <w:r w:rsidR="00963271"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secure future of employment that will not rely on society as the employer of last resort. </w:t>
      </w:r>
    </w:p>
    <w:p w14:paraId="040F7C6E" w14:textId="77777777" w:rsidR="00963271" w:rsidRPr="008E67A2" w:rsidRDefault="00DB3CAE" w:rsidP="007B3089">
      <w:pPr>
        <w:pStyle w:val="ListParagraph"/>
        <w:numPr>
          <w:ilvl w:val="0"/>
          <w:numId w:val="23"/>
        </w:num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Awareness</w:t>
      </w:r>
      <w:r w:rsidR="00963271"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of protecting human resources. </w:t>
      </w:r>
    </w:p>
    <w:p w14:paraId="61253BBC" w14:textId="77777777" w:rsidR="00963271" w:rsidRPr="008E67A2" w:rsidRDefault="00DB3CAE" w:rsidP="007B3089">
      <w:pPr>
        <w:pStyle w:val="ListParagraph"/>
        <w:numPr>
          <w:ilvl w:val="0"/>
          <w:numId w:val="23"/>
        </w:num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sz w:val="24"/>
          <w:szCs w:val="24"/>
          <w:lang w:eastAsia="en-GB"/>
        </w:rPr>
        <w:t>E</w:t>
      </w:r>
      <w:r w:rsidR="00963271"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liminate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legally non-prohibited but </w:t>
      </w:r>
      <w:r w:rsidR="00963271" w:rsidRPr="008E67A2">
        <w:rPr>
          <w:rFonts w:ascii="Trebuchet MS" w:eastAsia="Times New Roman" w:hAnsi="Trebuchet MS" w:cs="Arial"/>
          <w:sz w:val="24"/>
          <w:szCs w:val="24"/>
          <w:lang w:eastAsia="en-GB"/>
        </w:rPr>
        <w:t>retrogressive behaviours towards human resources.</w:t>
      </w:r>
    </w:p>
    <w:p w14:paraId="6C7188D7" w14:textId="77777777" w:rsidR="00963271" w:rsidRPr="008E67A2" w:rsidRDefault="00963271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14:paraId="5A9B8F5F" w14:textId="77777777" w:rsidR="00084701" w:rsidRPr="008E67A2" w:rsidRDefault="00DB3CAE" w:rsidP="007B3089">
      <w:pPr>
        <w:pStyle w:val="Heading2"/>
        <w:numPr>
          <w:ilvl w:val="0"/>
          <w:numId w:val="28"/>
        </w:numPr>
        <w:rPr>
          <w:rFonts w:ascii="Trebuchet MS" w:hAnsi="Trebuchet MS"/>
          <w:color w:val="auto"/>
          <w:sz w:val="24"/>
          <w:szCs w:val="24"/>
        </w:rPr>
      </w:pPr>
      <w:bookmarkStart w:id="7" w:name="_Toc506556123"/>
      <w:r>
        <w:rPr>
          <w:rFonts w:ascii="Trebuchet MS" w:hAnsi="Trebuchet MS"/>
          <w:color w:val="auto"/>
          <w:sz w:val="24"/>
          <w:szCs w:val="24"/>
        </w:rPr>
        <w:t xml:space="preserve">The Role of </w:t>
      </w:r>
      <w:r w:rsidR="00F7261B" w:rsidRPr="008E67A2">
        <w:rPr>
          <w:rFonts w:ascii="Trebuchet MS" w:hAnsi="Trebuchet MS"/>
          <w:color w:val="auto"/>
          <w:sz w:val="24"/>
          <w:szCs w:val="24"/>
        </w:rPr>
        <w:t>Employees</w:t>
      </w:r>
      <w:bookmarkEnd w:id="7"/>
    </w:p>
    <w:p w14:paraId="1CD825AD" w14:textId="77777777" w:rsidR="00C9293E" w:rsidRPr="008E67A2" w:rsidRDefault="00C9293E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14:paraId="2B2A227C" w14:textId="77777777" w:rsidR="00D73296" w:rsidRPr="008E67A2" w:rsidRDefault="00D73296" w:rsidP="00CA2DF6">
      <w:pPr>
        <w:jc w:val="both"/>
        <w:rPr>
          <w:rFonts w:ascii="Trebuchet MS" w:hAnsi="Trebuchet MS" w:cs="Arial"/>
          <w:sz w:val="24"/>
          <w:szCs w:val="24"/>
        </w:rPr>
      </w:pP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Employees </w:t>
      </w:r>
      <w:r w:rsidR="00CA2DF6" w:rsidRPr="008E67A2">
        <w:rPr>
          <w:rFonts w:ascii="Trebuchet MS" w:eastAsia="Times New Roman" w:hAnsi="Trebuchet MS" w:cs="Arial"/>
          <w:sz w:val="24"/>
          <w:szCs w:val="24"/>
          <w:lang w:eastAsia="en-GB"/>
        </w:rPr>
        <w:t>must</w:t>
      </w:r>
      <w:r w:rsidR="00DB3CAE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address employer-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insensitivity to equalities characteristics</w:t>
      </w:r>
      <w:r w:rsidR="00CA2DF6">
        <w:rPr>
          <w:rFonts w:ascii="Trebuchet MS" w:eastAsia="Times New Roman" w:hAnsi="Trebuchet MS" w:cs="Arial"/>
          <w:sz w:val="24"/>
          <w:szCs w:val="24"/>
          <w:lang w:eastAsia="en-GB"/>
        </w:rPr>
        <w:t xml:space="preserve">.  </w:t>
      </w:r>
      <w:r w:rsidR="00A65D44" w:rsidRPr="008E67A2">
        <w:rPr>
          <w:rFonts w:ascii="Trebuchet MS" w:hAnsi="Trebuchet MS" w:cs="Arial"/>
          <w:sz w:val="24"/>
          <w:szCs w:val="24"/>
        </w:rPr>
        <w:t>It should be</w:t>
      </w:r>
      <w:r w:rsidR="00C732BD" w:rsidRPr="008E67A2">
        <w:rPr>
          <w:rFonts w:ascii="Trebuchet MS" w:hAnsi="Trebuchet MS" w:cs="Arial"/>
          <w:sz w:val="24"/>
          <w:szCs w:val="24"/>
        </w:rPr>
        <w:t xml:space="preserve"> </w:t>
      </w:r>
      <w:r w:rsidRPr="008E67A2">
        <w:rPr>
          <w:rFonts w:ascii="Trebuchet MS" w:hAnsi="Trebuchet MS" w:cs="Arial"/>
          <w:sz w:val="24"/>
          <w:szCs w:val="24"/>
        </w:rPr>
        <w:t xml:space="preserve">the </w:t>
      </w:r>
      <w:r w:rsidR="00A65D44" w:rsidRPr="008E67A2">
        <w:rPr>
          <w:rFonts w:ascii="Trebuchet MS" w:hAnsi="Trebuchet MS" w:cs="Arial"/>
          <w:sz w:val="24"/>
          <w:szCs w:val="24"/>
        </w:rPr>
        <w:t xml:space="preserve">societally agreed </w:t>
      </w:r>
      <w:r w:rsidRPr="008E67A2">
        <w:rPr>
          <w:rFonts w:ascii="Trebuchet MS" w:hAnsi="Trebuchet MS" w:cs="Arial"/>
          <w:sz w:val="24"/>
          <w:szCs w:val="24"/>
        </w:rPr>
        <w:t>duty/re</w:t>
      </w:r>
      <w:r w:rsidR="00C732BD" w:rsidRPr="008E67A2">
        <w:rPr>
          <w:rFonts w:ascii="Trebuchet MS" w:hAnsi="Trebuchet MS" w:cs="Arial"/>
          <w:sz w:val="24"/>
          <w:szCs w:val="24"/>
        </w:rPr>
        <w:t xml:space="preserve">sponsibility pathway open to employees to </w:t>
      </w:r>
      <w:r w:rsidRPr="008E67A2">
        <w:rPr>
          <w:rFonts w:ascii="Trebuchet MS" w:hAnsi="Trebuchet MS" w:cs="Arial"/>
          <w:sz w:val="24"/>
          <w:szCs w:val="24"/>
        </w:rPr>
        <w:t>partner</w:t>
      </w:r>
      <w:r w:rsidR="00C732BD" w:rsidRPr="008E67A2">
        <w:rPr>
          <w:rFonts w:ascii="Trebuchet MS" w:hAnsi="Trebuchet MS" w:cs="Arial"/>
          <w:sz w:val="24"/>
          <w:szCs w:val="24"/>
        </w:rPr>
        <w:t xml:space="preserve"> </w:t>
      </w:r>
      <w:r w:rsidR="00426359" w:rsidRPr="008E67A2">
        <w:rPr>
          <w:rFonts w:ascii="Trebuchet MS" w:hAnsi="Trebuchet MS" w:cs="Arial"/>
          <w:sz w:val="24"/>
          <w:szCs w:val="24"/>
        </w:rPr>
        <w:t xml:space="preserve">with employers </w:t>
      </w:r>
      <w:r w:rsidRPr="008E67A2">
        <w:rPr>
          <w:rFonts w:ascii="Trebuchet MS" w:hAnsi="Trebuchet MS" w:cs="Arial"/>
          <w:sz w:val="24"/>
          <w:szCs w:val="24"/>
        </w:rPr>
        <w:t xml:space="preserve">to move/go beyond </w:t>
      </w:r>
      <w:r w:rsidR="00426359" w:rsidRPr="008E67A2">
        <w:rPr>
          <w:rFonts w:ascii="Trebuchet MS" w:hAnsi="Trebuchet MS" w:cs="Arial"/>
          <w:sz w:val="24"/>
          <w:szCs w:val="24"/>
        </w:rPr>
        <w:t>employment as lai</w:t>
      </w:r>
      <w:r w:rsidRPr="008E67A2">
        <w:rPr>
          <w:rFonts w:ascii="Trebuchet MS" w:hAnsi="Trebuchet MS" w:cs="Arial"/>
          <w:sz w:val="24"/>
          <w:szCs w:val="24"/>
        </w:rPr>
        <w:t>d out in the Equalities A</w:t>
      </w:r>
      <w:r w:rsidR="00A65D44" w:rsidRPr="008E67A2">
        <w:rPr>
          <w:rFonts w:ascii="Trebuchet MS" w:hAnsi="Trebuchet MS" w:cs="Arial"/>
          <w:sz w:val="24"/>
          <w:szCs w:val="24"/>
        </w:rPr>
        <w:t>ct 2010</w:t>
      </w:r>
      <w:r w:rsidRPr="008E67A2">
        <w:rPr>
          <w:rFonts w:ascii="Trebuchet MS" w:hAnsi="Trebuchet MS" w:cs="Arial"/>
          <w:sz w:val="24"/>
          <w:szCs w:val="24"/>
        </w:rPr>
        <w:t xml:space="preserve">. </w:t>
      </w:r>
    </w:p>
    <w:p w14:paraId="0A79B136" w14:textId="77777777" w:rsidR="00D73296" w:rsidRPr="008E67A2" w:rsidRDefault="00D73296" w:rsidP="007B3089">
      <w:pPr>
        <w:pStyle w:val="body"/>
        <w:spacing w:before="0" w:beforeAutospacing="0" w:after="120" w:afterAutospacing="0"/>
        <w:jc w:val="both"/>
        <w:rPr>
          <w:rFonts w:ascii="Trebuchet MS" w:hAnsi="Trebuchet MS" w:cs="Arial"/>
        </w:rPr>
      </w:pPr>
      <w:proofErr w:type="gramStart"/>
      <w:r w:rsidRPr="008E67A2">
        <w:rPr>
          <w:rFonts w:ascii="Trebuchet MS" w:hAnsi="Trebuchet MS" w:cs="Arial"/>
        </w:rPr>
        <w:t>Indeed</w:t>
      </w:r>
      <w:proofErr w:type="gramEnd"/>
      <w:r w:rsidRPr="008E67A2">
        <w:rPr>
          <w:rFonts w:ascii="Trebuchet MS" w:hAnsi="Trebuchet MS" w:cs="Arial"/>
        </w:rPr>
        <w:t xml:space="preserve"> some </w:t>
      </w:r>
      <w:r w:rsidR="00426359" w:rsidRPr="008E67A2">
        <w:rPr>
          <w:rFonts w:ascii="Trebuchet MS" w:hAnsi="Trebuchet MS" w:cs="Arial"/>
        </w:rPr>
        <w:t xml:space="preserve">employers </w:t>
      </w:r>
      <w:r w:rsidRPr="008E67A2">
        <w:rPr>
          <w:rFonts w:ascii="Trebuchet MS" w:hAnsi="Trebuchet MS" w:cs="Arial"/>
        </w:rPr>
        <w:t>w</w:t>
      </w:r>
      <w:r w:rsidR="00CA2DF6">
        <w:rPr>
          <w:rFonts w:ascii="Trebuchet MS" w:hAnsi="Trebuchet MS" w:cs="Arial"/>
        </w:rPr>
        <w:t>ho are more socially sensitive</w:t>
      </w:r>
      <w:r w:rsidRPr="008E67A2">
        <w:rPr>
          <w:rFonts w:ascii="Trebuchet MS" w:hAnsi="Trebuchet MS" w:cs="Arial"/>
        </w:rPr>
        <w:t xml:space="preserve"> such as getting involved in charity work, social afflictions and environmental vagaries have signed up to the phenomena of </w:t>
      </w:r>
      <w:r w:rsidR="00A65D44" w:rsidRPr="008E67A2">
        <w:rPr>
          <w:rFonts w:ascii="Trebuchet MS" w:hAnsi="Trebuchet MS" w:cs="Arial"/>
        </w:rPr>
        <w:t>corporate social r</w:t>
      </w:r>
      <w:r w:rsidRPr="008E67A2">
        <w:rPr>
          <w:rFonts w:ascii="Trebuchet MS" w:hAnsi="Trebuchet MS" w:cs="Arial"/>
        </w:rPr>
        <w:t>esponsibility</w:t>
      </w:r>
      <w:r w:rsidRPr="008E67A2">
        <w:rPr>
          <w:rStyle w:val="FootnoteReference"/>
          <w:rFonts w:ascii="Trebuchet MS" w:hAnsi="Trebuchet MS" w:cs="Arial"/>
        </w:rPr>
        <w:footnoteReference w:id="2"/>
      </w:r>
      <w:r w:rsidRPr="008E67A2">
        <w:rPr>
          <w:rFonts w:ascii="Trebuchet MS" w:hAnsi="Trebuchet MS" w:cs="Arial"/>
        </w:rPr>
        <w:t xml:space="preserve">. </w:t>
      </w:r>
    </w:p>
    <w:p w14:paraId="79902700" w14:textId="77777777" w:rsidR="00A65D44" w:rsidRPr="008E67A2" w:rsidRDefault="00A65D44" w:rsidP="007B3089">
      <w:pPr>
        <w:pStyle w:val="body"/>
        <w:spacing w:before="0" w:beforeAutospacing="0" w:after="120" w:afterAutospacing="0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t xml:space="preserve">The mediating </w:t>
      </w:r>
      <w:r w:rsidR="00D73296" w:rsidRPr="008E67A2">
        <w:rPr>
          <w:rFonts w:ascii="Trebuchet MS" w:hAnsi="Trebuchet MS" w:cs="Arial"/>
        </w:rPr>
        <w:t xml:space="preserve">role </w:t>
      </w:r>
      <w:r w:rsidRPr="008E67A2">
        <w:rPr>
          <w:rFonts w:ascii="Trebuchet MS" w:hAnsi="Trebuchet MS" w:cs="Arial"/>
        </w:rPr>
        <w:t xml:space="preserve">of employees should be </w:t>
      </w:r>
      <w:r w:rsidR="00D73296" w:rsidRPr="008E67A2">
        <w:rPr>
          <w:rFonts w:ascii="Trebuchet MS" w:hAnsi="Trebuchet MS" w:cs="Arial"/>
        </w:rPr>
        <w:t>to bring some level/degree of co-determination</w:t>
      </w:r>
      <w:r w:rsidR="00D73296" w:rsidRPr="008E67A2">
        <w:rPr>
          <w:rStyle w:val="FootnoteReference"/>
          <w:rFonts w:ascii="Trebuchet MS" w:hAnsi="Trebuchet MS" w:cs="Arial"/>
        </w:rPr>
        <w:footnoteReference w:id="3"/>
      </w:r>
      <w:r w:rsidR="00D73296" w:rsidRPr="008E67A2">
        <w:rPr>
          <w:rFonts w:ascii="Trebuchet MS" w:hAnsi="Trebuchet MS" w:cs="Arial"/>
        </w:rPr>
        <w:t xml:space="preserve"> to </w:t>
      </w:r>
      <w:r w:rsidR="00C732BD" w:rsidRPr="008E67A2">
        <w:rPr>
          <w:rFonts w:ascii="Trebuchet MS" w:hAnsi="Trebuchet MS" w:cs="Arial"/>
        </w:rPr>
        <w:t>their employers</w:t>
      </w:r>
      <w:r w:rsidR="00D73296" w:rsidRPr="008E67A2">
        <w:rPr>
          <w:rFonts w:ascii="Trebuchet MS" w:hAnsi="Trebuchet MS" w:cs="Arial"/>
        </w:rPr>
        <w:t xml:space="preserve"> on the issues of transparency on equalities with specific reference to protected characteristics.</w:t>
      </w:r>
      <w:r w:rsidR="00C732BD" w:rsidRPr="008E67A2">
        <w:rPr>
          <w:rFonts w:ascii="Trebuchet MS" w:hAnsi="Trebuchet MS" w:cs="Arial"/>
        </w:rPr>
        <w:t xml:space="preserve">  It</w:t>
      </w:r>
      <w:r w:rsidR="00D73296" w:rsidRPr="008E67A2">
        <w:rPr>
          <w:rFonts w:ascii="Trebuchet MS" w:hAnsi="Trebuchet MS" w:cs="Arial"/>
        </w:rPr>
        <w:t xml:space="preserve"> </w:t>
      </w:r>
      <w:r w:rsidRPr="008E67A2">
        <w:rPr>
          <w:rFonts w:ascii="Trebuchet MS" w:hAnsi="Trebuchet MS" w:cs="Arial"/>
        </w:rPr>
        <w:t>should fall</w:t>
      </w:r>
      <w:r w:rsidR="00D73296" w:rsidRPr="008E67A2">
        <w:rPr>
          <w:rFonts w:ascii="Trebuchet MS" w:hAnsi="Trebuchet MS" w:cs="Arial"/>
        </w:rPr>
        <w:t xml:space="preserve"> upon </w:t>
      </w:r>
      <w:r w:rsidR="00C732BD" w:rsidRPr="008E67A2">
        <w:rPr>
          <w:rFonts w:ascii="Trebuchet MS" w:hAnsi="Trebuchet MS" w:cs="Arial"/>
        </w:rPr>
        <w:t>employees</w:t>
      </w:r>
      <w:r w:rsidR="00D73296" w:rsidRPr="008E67A2">
        <w:rPr>
          <w:rFonts w:ascii="Trebuchet MS" w:hAnsi="Trebuchet MS" w:cs="Arial"/>
        </w:rPr>
        <w:t xml:space="preserve"> to mediate the process of ushering </w:t>
      </w:r>
      <w:r w:rsidRPr="008E67A2">
        <w:rPr>
          <w:rFonts w:ascii="Trebuchet MS" w:hAnsi="Trebuchet MS" w:cs="Arial"/>
        </w:rPr>
        <w:t xml:space="preserve">in </w:t>
      </w:r>
      <w:r w:rsidR="00D73296" w:rsidRPr="008E67A2">
        <w:rPr>
          <w:rFonts w:ascii="Trebuchet MS" w:hAnsi="Trebuchet MS" w:cs="Arial"/>
        </w:rPr>
        <w:t>openness/transparency in employment</w:t>
      </w:r>
      <w:r w:rsidR="00C732BD" w:rsidRPr="008E67A2">
        <w:rPr>
          <w:rFonts w:ascii="Trebuchet MS" w:hAnsi="Trebuchet MS" w:cs="Arial"/>
        </w:rPr>
        <w:t xml:space="preserve"> as </w:t>
      </w:r>
      <w:r w:rsidR="00D73296" w:rsidRPr="008E67A2">
        <w:rPr>
          <w:rFonts w:ascii="Trebuchet MS" w:hAnsi="Trebuchet MS" w:cs="Arial"/>
        </w:rPr>
        <w:t>society’s assets at the sharp-end of engaging employers</w:t>
      </w:r>
      <w:r w:rsidR="00387FF4">
        <w:rPr>
          <w:rFonts w:ascii="Trebuchet MS" w:hAnsi="Trebuchet MS" w:cs="Arial"/>
        </w:rPr>
        <w:t xml:space="preserve"> as socially accountable corporate citizens</w:t>
      </w:r>
      <w:r w:rsidR="00D73296" w:rsidRPr="008E67A2">
        <w:rPr>
          <w:rFonts w:ascii="Trebuchet MS" w:hAnsi="Trebuchet MS" w:cs="Arial"/>
        </w:rPr>
        <w:t xml:space="preserve">. </w:t>
      </w:r>
    </w:p>
    <w:p w14:paraId="2A3528A8" w14:textId="77777777" w:rsidR="00D73296" w:rsidRPr="008E67A2" w:rsidRDefault="00A65D44" w:rsidP="007B3089">
      <w:pPr>
        <w:pStyle w:val="body"/>
        <w:spacing w:before="0" w:beforeAutospacing="0" w:after="120" w:afterAutospacing="0"/>
        <w:jc w:val="both"/>
        <w:rPr>
          <w:rFonts w:ascii="Trebuchet MS" w:hAnsi="Trebuchet MS" w:cs="Arial"/>
        </w:rPr>
      </w:pPr>
      <w:r w:rsidRPr="008E67A2">
        <w:rPr>
          <w:rFonts w:ascii="Trebuchet MS" w:hAnsi="Trebuchet MS" w:cs="Arial"/>
        </w:rPr>
        <w:lastRenderedPageBreak/>
        <w:t xml:space="preserve">Employees should mediate the process of ushering in openness/transparency in employment through rating their employers as having ‘accessible’, ‘available’, ‘acceptable’, ‘appropriate’ and ‘adaptable’ employment practices on one hand and as enjoying </w:t>
      </w:r>
      <w:r w:rsidR="00CA2DF6">
        <w:rPr>
          <w:rFonts w:ascii="Trebuchet MS" w:hAnsi="Trebuchet MS" w:cs="Arial"/>
        </w:rPr>
        <w:t>employment experience</w:t>
      </w:r>
      <w:r w:rsidR="00F22072">
        <w:rPr>
          <w:rFonts w:ascii="Trebuchet MS" w:hAnsi="Trebuchet MS" w:cs="Arial"/>
        </w:rPr>
        <w:t>s</w:t>
      </w:r>
      <w:r w:rsidR="00CA2DF6">
        <w:rPr>
          <w:rFonts w:ascii="Trebuchet MS" w:hAnsi="Trebuchet MS" w:cs="Arial"/>
        </w:rPr>
        <w:t xml:space="preserve"> that are</w:t>
      </w:r>
      <w:r w:rsidRPr="008E67A2">
        <w:rPr>
          <w:rFonts w:ascii="Trebuchet MS" w:hAnsi="Trebuchet MS" w:cs="Arial"/>
        </w:rPr>
        <w:t xml:space="preserve"> ‘empowering’; ‘efficient’; ‘economic’; ‘equitable; and ‘effective’ on the other hand.</w:t>
      </w:r>
    </w:p>
    <w:p w14:paraId="54658009" w14:textId="77777777" w:rsidR="00D73296" w:rsidRPr="008E67A2" w:rsidRDefault="00D73296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14:paraId="54EDAC4A" w14:textId="77777777" w:rsidR="00F7261B" w:rsidRPr="008E67A2" w:rsidRDefault="00F7261B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14:paraId="3CF7769D" w14:textId="77777777" w:rsidR="00F7261B" w:rsidRPr="008E67A2" w:rsidRDefault="00A65D44" w:rsidP="007B3089">
      <w:pPr>
        <w:pStyle w:val="Heading2"/>
        <w:numPr>
          <w:ilvl w:val="0"/>
          <w:numId w:val="28"/>
        </w:numPr>
        <w:rPr>
          <w:rFonts w:ascii="Trebuchet MS" w:eastAsia="Times New Roman" w:hAnsi="Trebuchet MS"/>
          <w:color w:val="auto"/>
          <w:sz w:val="24"/>
          <w:szCs w:val="24"/>
          <w:lang w:eastAsia="en-GB"/>
        </w:rPr>
      </w:pPr>
      <w:bookmarkStart w:id="8" w:name="_Toc506556124"/>
      <w:r w:rsidRPr="008E67A2">
        <w:rPr>
          <w:rFonts w:ascii="Trebuchet MS" w:eastAsia="Times New Roman" w:hAnsi="Trebuchet MS"/>
          <w:color w:val="auto"/>
          <w:sz w:val="24"/>
          <w:szCs w:val="24"/>
          <w:lang w:eastAsia="en-GB"/>
        </w:rPr>
        <w:t xml:space="preserve">The </w:t>
      </w:r>
      <w:r w:rsidR="00DB3CAE">
        <w:rPr>
          <w:rFonts w:ascii="Trebuchet MS" w:eastAsia="Times New Roman" w:hAnsi="Trebuchet MS"/>
          <w:color w:val="auto"/>
          <w:sz w:val="24"/>
          <w:szCs w:val="24"/>
          <w:lang w:eastAsia="en-GB"/>
        </w:rPr>
        <w:t xml:space="preserve">Role of the </w:t>
      </w:r>
      <w:r w:rsidRPr="008E67A2">
        <w:rPr>
          <w:rFonts w:ascii="Trebuchet MS" w:eastAsia="Times New Roman" w:hAnsi="Trebuchet MS"/>
          <w:color w:val="auto"/>
          <w:sz w:val="24"/>
          <w:szCs w:val="24"/>
          <w:lang w:eastAsia="en-GB"/>
        </w:rPr>
        <w:t>Legislature</w:t>
      </w:r>
      <w:bookmarkEnd w:id="8"/>
    </w:p>
    <w:p w14:paraId="7C8E35CE" w14:textId="77777777" w:rsidR="00F7261B" w:rsidRPr="008E67A2" w:rsidRDefault="00F7261B" w:rsidP="007B3089">
      <w:pPr>
        <w:pStyle w:val="body"/>
        <w:spacing w:before="0" w:beforeAutospacing="0" w:after="120" w:afterAutospacing="0"/>
        <w:jc w:val="both"/>
        <w:rPr>
          <w:rFonts w:ascii="Trebuchet MS" w:hAnsi="Trebuchet MS" w:cs="Arial"/>
        </w:rPr>
      </w:pPr>
    </w:p>
    <w:p w14:paraId="76B318B1" w14:textId="77777777" w:rsidR="00D73296" w:rsidRPr="008E67A2" w:rsidRDefault="00CA2DF6" w:rsidP="007B3089">
      <w:pPr>
        <w:pStyle w:val="body"/>
        <w:spacing w:before="0" w:beforeAutospacing="0" w:after="120" w:afterAutospacing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="00DE1F3E" w:rsidRPr="008E67A2">
        <w:rPr>
          <w:rFonts w:ascii="Trebuchet MS" w:hAnsi="Trebuchet MS" w:cs="Arial"/>
        </w:rPr>
        <w:t>he Legislature</w:t>
      </w:r>
      <w:r w:rsidR="00D73296" w:rsidRPr="008E67A2">
        <w:rPr>
          <w:rFonts w:ascii="Trebuchet MS" w:hAnsi="Trebuchet MS" w:cs="Arial"/>
        </w:rPr>
        <w:t xml:space="preserve"> should provide the lega</w:t>
      </w:r>
      <w:r w:rsidR="00DE1F3E" w:rsidRPr="008E67A2">
        <w:rPr>
          <w:rFonts w:ascii="Trebuchet MS" w:hAnsi="Trebuchet MS" w:cs="Arial"/>
        </w:rPr>
        <w:t>l framework for</w:t>
      </w:r>
      <w:r>
        <w:rPr>
          <w:rFonts w:ascii="Trebuchet MS" w:hAnsi="Trebuchet MS" w:cs="Arial"/>
        </w:rPr>
        <w:t xml:space="preserve"> employees to usher in an </w:t>
      </w:r>
      <w:r w:rsidR="00DE1F3E" w:rsidRPr="008E67A2">
        <w:rPr>
          <w:rFonts w:ascii="Trebuchet MS" w:hAnsi="Trebuchet MS" w:cs="Arial"/>
        </w:rPr>
        <w:t>approach</w:t>
      </w:r>
      <w:r w:rsidR="00D73296" w:rsidRPr="008E67A2">
        <w:rPr>
          <w:rFonts w:ascii="Trebuchet MS" w:hAnsi="Trebuchet MS" w:cs="Arial"/>
        </w:rPr>
        <w:t xml:space="preserve"> for enabling society to ask questions and all sorts of questions about what is/ar</w:t>
      </w:r>
      <w:r w:rsidR="00DE1F3E" w:rsidRPr="008E67A2">
        <w:rPr>
          <w:rFonts w:ascii="Trebuchet MS" w:hAnsi="Trebuchet MS" w:cs="Arial"/>
        </w:rPr>
        <w:t>e being done in society’s</w:t>
      </w:r>
      <w:r w:rsidR="00D73296" w:rsidRPr="008E67A2">
        <w:rPr>
          <w:rFonts w:ascii="Trebuchet MS" w:hAnsi="Trebuchet MS" w:cs="Arial"/>
        </w:rPr>
        <w:t xml:space="preserve"> name</w:t>
      </w:r>
      <w:r w:rsidR="00DE1F3E" w:rsidRPr="008E67A2">
        <w:rPr>
          <w:rFonts w:ascii="Trebuchet MS" w:hAnsi="Trebuchet MS" w:cs="Arial"/>
        </w:rPr>
        <w:t>;</w:t>
      </w:r>
      <w:r w:rsidR="00D73296" w:rsidRPr="008E67A2">
        <w:rPr>
          <w:rFonts w:ascii="Trebuchet MS" w:hAnsi="Trebuchet MS" w:cs="Arial"/>
        </w:rPr>
        <w:t xml:space="preserve"> </w:t>
      </w:r>
      <w:r w:rsidR="00DE1F3E" w:rsidRPr="008E67A2">
        <w:rPr>
          <w:rFonts w:ascii="Trebuchet MS" w:hAnsi="Trebuchet MS" w:cs="Arial"/>
        </w:rPr>
        <w:t xml:space="preserve">and </w:t>
      </w:r>
      <w:r>
        <w:rPr>
          <w:rFonts w:ascii="Trebuchet MS" w:hAnsi="Trebuchet MS" w:cs="Arial"/>
        </w:rPr>
        <w:t xml:space="preserve">about </w:t>
      </w:r>
      <w:r w:rsidR="00387FF4">
        <w:rPr>
          <w:rFonts w:ascii="Trebuchet MS" w:hAnsi="Trebuchet MS" w:cs="Arial"/>
        </w:rPr>
        <w:t>the well-being of society’s</w:t>
      </w:r>
      <w:r w:rsidR="00DE1F3E" w:rsidRPr="008E67A2">
        <w:rPr>
          <w:rFonts w:ascii="Trebuchet MS" w:hAnsi="Trebuchet MS" w:cs="Arial"/>
        </w:rPr>
        <w:t xml:space="preserve"> human resources</w:t>
      </w:r>
      <w:r w:rsidR="00D73296" w:rsidRPr="008E67A2">
        <w:rPr>
          <w:rFonts w:ascii="Trebuchet MS" w:hAnsi="Trebuchet MS" w:cs="Arial"/>
        </w:rPr>
        <w:t xml:space="preserve">. </w:t>
      </w:r>
    </w:p>
    <w:p w14:paraId="4FC73E0E" w14:textId="77777777" w:rsidR="00D73296" w:rsidRPr="008E67A2" w:rsidRDefault="00D73296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14:paraId="29A46D63" w14:textId="77777777" w:rsidR="00F7261B" w:rsidRPr="008E67A2" w:rsidRDefault="00DB3CAE" w:rsidP="007B3089">
      <w:pPr>
        <w:pStyle w:val="Heading2"/>
        <w:numPr>
          <w:ilvl w:val="0"/>
          <w:numId w:val="28"/>
        </w:numPr>
        <w:rPr>
          <w:rFonts w:ascii="Trebuchet MS" w:eastAsia="Times New Roman" w:hAnsi="Trebuchet MS"/>
          <w:color w:val="auto"/>
          <w:sz w:val="24"/>
          <w:szCs w:val="24"/>
          <w:lang w:eastAsia="en-GB"/>
        </w:rPr>
      </w:pPr>
      <w:bookmarkStart w:id="9" w:name="_Toc506556125"/>
      <w:r>
        <w:rPr>
          <w:rFonts w:ascii="Trebuchet MS" w:eastAsia="Times New Roman" w:hAnsi="Trebuchet MS"/>
          <w:color w:val="auto"/>
          <w:sz w:val="24"/>
          <w:szCs w:val="24"/>
          <w:lang w:eastAsia="en-GB"/>
        </w:rPr>
        <w:t xml:space="preserve">The Business Role </w:t>
      </w:r>
      <w:r w:rsidR="00F7261B" w:rsidRPr="008E67A2">
        <w:rPr>
          <w:rFonts w:ascii="Trebuchet MS" w:eastAsia="Times New Roman" w:hAnsi="Trebuchet MS"/>
          <w:color w:val="auto"/>
          <w:sz w:val="24"/>
          <w:szCs w:val="24"/>
          <w:lang w:eastAsia="en-GB"/>
        </w:rPr>
        <w:t>of ESRL</w:t>
      </w:r>
      <w:bookmarkEnd w:id="9"/>
    </w:p>
    <w:p w14:paraId="240541B0" w14:textId="77777777" w:rsidR="00D73296" w:rsidRPr="008E67A2" w:rsidRDefault="00D73296" w:rsidP="007B3089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14:paraId="78B5C4CA" w14:textId="77777777" w:rsidR="00DF1C96" w:rsidRDefault="00DF1C96" w:rsidP="00DF1C96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ESRL has put in place 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a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>n e-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platform for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listing employers and for 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engaging e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mployers, employees and society </w:t>
      </w:r>
      <w:proofErr w:type="gramStart"/>
      <w:r>
        <w:rPr>
          <w:rFonts w:ascii="Trebuchet MS" w:eastAsia="Times New Roman" w:hAnsi="Trebuchet MS" w:cs="Arial"/>
          <w:sz w:val="24"/>
          <w:szCs w:val="24"/>
          <w:lang w:eastAsia="en-GB"/>
        </w:rPr>
        <w:t>in order to</w:t>
      </w:r>
      <w:proofErr w:type="gramEnd"/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 advance 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Transparency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 in employment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.</w:t>
      </w:r>
      <w:r>
        <w:rPr>
          <w:rStyle w:val="FootnoteReference"/>
          <w:rFonts w:ascii="Trebuchet MS" w:eastAsia="Times New Roman" w:hAnsi="Trebuchet MS" w:cs="Arial"/>
          <w:sz w:val="24"/>
          <w:szCs w:val="24"/>
          <w:lang w:eastAsia="en-GB"/>
        </w:rPr>
        <w:footnoteReference w:id="4"/>
      </w:r>
      <w:r w:rsidRPr="00DF1C96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 ESRL will 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develop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indicators and/or products that enable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>study and revision of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the modelling and practices of transparency in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>employ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ment.</w:t>
      </w:r>
      <w:r>
        <w:rPr>
          <w:rStyle w:val="FootnoteReference"/>
          <w:rFonts w:ascii="Trebuchet MS" w:eastAsia="Times New Roman" w:hAnsi="Trebuchet MS" w:cs="Arial"/>
          <w:sz w:val="24"/>
          <w:szCs w:val="24"/>
          <w:lang w:eastAsia="en-GB"/>
        </w:rPr>
        <w:footnoteReference w:id="5"/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</w:p>
    <w:p w14:paraId="704B8100" w14:textId="77777777" w:rsidR="00DF1C96" w:rsidRDefault="00DF1C96" w:rsidP="00DF1C96">
      <w:pPr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14:paraId="1BA0D483" w14:textId="77777777" w:rsidR="00AA3064" w:rsidRDefault="00DE58B2" w:rsidP="007B3089">
      <w:pPr>
        <w:jc w:val="both"/>
        <w:rPr>
          <w:rFonts w:ascii="Trebuchet MS" w:hAnsi="Trebuchet MS" w:cs="Arial"/>
          <w:sz w:val="24"/>
          <w:szCs w:val="24"/>
        </w:rPr>
      </w:pP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ESRL’s soft </w:t>
      </w:r>
      <w:r w:rsidR="00DE1F3E"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role is </w:t>
      </w:r>
      <w:r w:rsidR="00190A7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also </w:t>
      </w:r>
      <w:r w:rsidR="00DE1F3E" w:rsidRPr="008E67A2">
        <w:rPr>
          <w:rFonts w:ascii="Trebuchet MS" w:eastAsia="Times New Roman" w:hAnsi="Trebuchet MS" w:cs="Arial"/>
          <w:sz w:val="24"/>
          <w:szCs w:val="24"/>
          <w:lang w:eastAsia="en-GB"/>
        </w:rPr>
        <w:t>to enable employees to rate their employers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.</w:t>
      </w:r>
      <w:r w:rsidR="00D73296"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 </w:t>
      </w:r>
      <w:r w:rsidR="003B295C" w:rsidRPr="008E67A2">
        <w:rPr>
          <w:rFonts w:ascii="Trebuchet MS" w:hAnsi="Trebuchet MS" w:cs="Arial"/>
          <w:sz w:val="24"/>
          <w:szCs w:val="24"/>
        </w:rPr>
        <w:t>I</w:t>
      </w:r>
      <w:r w:rsidR="00F22072">
        <w:rPr>
          <w:rFonts w:ascii="Trebuchet MS" w:hAnsi="Trebuchet MS" w:cs="Arial"/>
          <w:sz w:val="24"/>
          <w:szCs w:val="24"/>
        </w:rPr>
        <w:t>n taking on this role</w:t>
      </w:r>
      <w:r w:rsidR="00CA2DF6">
        <w:rPr>
          <w:rFonts w:ascii="Trebuchet MS" w:hAnsi="Trebuchet MS" w:cs="Arial"/>
          <w:sz w:val="24"/>
          <w:szCs w:val="24"/>
        </w:rPr>
        <w:t xml:space="preserve">, following a successful business launch, </w:t>
      </w:r>
      <w:r w:rsidR="004F34D8" w:rsidRPr="008E67A2">
        <w:rPr>
          <w:rFonts w:ascii="Trebuchet MS" w:hAnsi="Trebuchet MS" w:cs="Arial"/>
          <w:sz w:val="24"/>
          <w:szCs w:val="24"/>
        </w:rPr>
        <w:t xml:space="preserve">ESRL </w:t>
      </w:r>
      <w:r w:rsidR="00DE1F3E" w:rsidRPr="008E67A2">
        <w:rPr>
          <w:rFonts w:ascii="Trebuchet MS" w:hAnsi="Trebuchet MS" w:cs="Arial"/>
          <w:sz w:val="24"/>
          <w:szCs w:val="24"/>
        </w:rPr>
        <w:t>guide</w:t>
      </w:r>
      <w:r w:rsidR="00CA2DF6">
        <w:rPr>
          <w:rFonts w:ascii="Trebuchet MS" w:hAnsi="Trebuchet MS" w:cs="Arial"/>
          <w:sz w:val="24"/>
          <w:szCs w:val="24"/>
        </w:rPr>
        <w:t>s</w:t>
      </w:r>
      <w:r w:rsidR="00DE1F3E" w:rsidRPr="008E67A2">
        <w:rPr>
          <w:rFonts w:ascii="Trebuchet MS" w:hAnsi="Trebuchet MS" w:cs="Arial"/>
          <w:sz w:val="24"/>
          <w:szCs w:val="24"/>
        </w:rPr>
        <w:t xml:space="preserve"> employees, of participating employers,</w:t>
      </w:r>
      <w:r w:rsidR="003B295C" w:rsidRPr="008E67A2">
        <w:rPr>
          <w:rFonts w:ascii="Trebuchet MS" w:hAnsi="Trebuchet MS" w:cs="Arial"/>
          <w:sz w:val="24"/>
          <w:szCs w:val="24"/>
        </w:rPr>
        <w:t xml:space="preserve"> </w:t>
      </w:r>
      <w:r w:rsidR="004F34D8" w:rsidRPr="008E67A2">
        <w:rPr>
          <w:rFonts w:ascii="Trebuchet MS" w:hAnsi="Trebuchet MS" w:cs="Arial"/>
          <w:sz w:val="24"/>
          <w:szCs w:val="24"/>
        </w:rPr>
        <w:t xml:space="preserve">to </w:t>
      </w:r>
      <w:r w:rsidR="004E229C" w:rsidRPr="008E67A2">
        <w:rPr>
          <w:rFonts w:ascii="Trebuchet MS" w:hAnsi="Trebuchet MS" w:cs="Arial"/>
          <w:sz w:val="24"/>
          <w:szCs w:val="24"/>
        </w:rPr>
        <w:t xml:space="preserve">an open-ended duty/responsibility to </w:t>
      </w:r>
      <w:r w:rsidR="00944D2A" w:rsidRPr="008E67A2">
        <w:rPr>
          <w:rFonts w:ascii="Trebuchet MS" w:hAnsi="Trebuchet MS" w:cs="Arial"/>
          <w:sz w:val="24"/>
          <w:szCs w:val="24"/>
        </w:rPr>
        <w:t xml:space="preserve">ensure employers have embedded employment practices that are </w:t>
      </w:r>
      <w:r w:rsidR="00DE1F3E" w:rsidRPr="008E67A2">
        <w:rPr>
          <w:rFonts w:ascii="Trebuchet MS" w:hAnsi="Trebuchet MS" w:cs="Arial"/>
          <w:sz w:val="24"/>
          <w:szCs w:val="24"/>
        </w:rPr>
        <w:t>‘accessible’, ‘available’, ‘acceptable’, ‘appropriate’ and ‘</w:t>
      </w:r>
      <w:r w:rsidR="00944D2A" w:rsidRPr="008E67A2">
        <w:rPr>
          <w:rFonts w:ascii="Trebuchet MS" w:hAnsi="Trebuchet MS" w:cs="Arial"/>
          <w:sz w:val="24"/>
          <w:szCs w:val="24"/>
        </w:rPr>
        <w:t xml:space="preserve">adaptable’ </w:t>
      </w:r>
      <w:r w:rsidR="00DE1F3E" w:rsidRPr="008E67A2">
        <w:rPr>
          <w:rFonts w:ascii="Trebuchet MS" w:hAnsi="Trebuchet MS" w:cs="Arial"/>
          <w:sz w:val="24"/>
          <w:szCs w:val="24"/>
        </w:rPr>
        <w:t>on one hand and employment experience</w:t>
      </w:r>
      <w:r w:rsidR="00CA2DF6">
        <w:rPr>
          <w:rFonts w:ascii="Trebuchet MS" w:hAnsi="Trebuchet MS" w:cs="Arial"/>
          <w:sz w:val="24"/>
          <w:szCs w:val="24"/>
        </w:rPr>
        <w:t>s that are</w:t>
      </w:r>
      <w:r w:rsidR="00DE1F3E" w:rsidRPr="008E67A2">
        <w:rPr>
          <w:rFonts w:ascii="Trebuchet MS" w:hAnsi="Trebuchet MS" w:cs="Arial"/>
          <w:sz w:val="24"/>
          <w:szCs w:val="24"/>
        </w:rPr>
        <w:t xml:space="preserve"> ‘empowering’; ‘efficient’; ‘economic’; ‘equitable; and ‘effective’ on the other hand.</w:t>
      </w:r>
    </w:p>
    <w:p w14:paraId="040574A5" w14:textId="77777777" w:rsidR="002A1D81" w:rsidRPr="00A85F6F" w:rsidRDefault="002A1D81" w:rsidP="00A85F6F">
      <w:pPr>
        <w:jc w:val="both"/>
        <w:rPr>
          <w:rFonts w:ascii="Trebuchet MS" w:hAnsi="Trebuchet MS" w:cs="Arial"/>
          <w:color w:val="0070C0"/>
          <w:sz w:val="24"/>
          <w:szCs w:val="24"/>
        </w:rPr>
      </w:pPr>
    </w:p>
    <w:sectPr w:rsidR="002A1D81" w:rsidRPr="00A85F6F" w:rsidSect="00AD5D09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EF99" w14:textId="77777777" w:rsidR="00933CB5" w:rsidRDefault="00933CB5" w:rsidP="006C20FE">
      <w:pPr>
        <w:spacing w:after="0"/>
      </w:pPr>
      <w:r>
        <w:separator/>
      </w:r>
    </w:p>
  </w:endnote>
  <w:endnote w:type="continuationSeparator" w:id="0">
    <w:p w14:paraId="7E0DD412" w14:textId="77777777" w:rsidR="00933CB5" w:rsidRDefault="00933CB5" w:rsidP="006C2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014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FA1EE" w14:textId="5EC1BDB7" w:rsidR="00DE1F3E" w:rsidRDefault="00DE1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A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3412D5" w14:textId="77777777" w:rsidR="00DE1F3E" w:rsidRDefault="00DE1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3E3E" w14:textId="77777777" w:rsidR="00933CB5" w:rsidRDefault="00933CB5" w:rsidP="006C20FE">
      <w:pPr>
        <w:spacing w:after="0"/>
      </w:pPr>
      <w:r>
        <w:separator/>
      </w:r>
    </w:p>
  </w:footnote>
  <w:footnote w:type="continuationSeparator" w:id="0">
    <w:p w14:paraId="6B370705" w14:textId="77777777" w:rsidR="00933CB5" w:rsidRDefault="00933CB5" w:rsidP="006C20FE">
      <w:pPr>
        <w:spacing w:after="0"/>
      </w:pPr>
      <w:r>
        <w:continuationSeparator/>
      </w:r>
    </w:p>
  </w:footnote>
  <w:footnote w:id="1">
    <w:p w14:paraId="4B6DB98E" w14:textId="77777777" w:rsidR="00DF1C96" w:rsidRDefault="00DF1C96" w:rsidP="00DF1C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67A2">
        <w:rPr>
          <w:rFonts w:ascii="Trebuchet MS" w:eastAsia="Times New Roman" w:hAnsi="Trebuchet MS" w:cs="Arial"/>
          <w:sz w:val="24"/>
          <w:szCs w:val="24"/>
          <w:shd w:val="clear" w:color="auto" w:fill="FFFFFF"/>
          <w:lang w:eastAsia="en-GB"/>
        </w:rPr>
        <w:t xml:space="preserve">This is important because </w:t>
      </w:r>
      <w:proofErr w:type="gramStart"/>
      <w:r w:rsidRPr="008E67A2">
        <w:rPr>
          <w:rFonts w:ascii="Trebuchet MS" w:eastAsia="Times New Roman" w:hAnsi="Trebuchet MS" w:cs="Arial"/>
          <w:sz w:val="24"/>
          <w:szCs w:val="24"/>
          <w:shd w:val="clear" w:color="auto" w:fill="FFFFFF"/>
          <w:lang w:eastAsia="en-GB"/>
        </w:rPr>
        <w:t>the majority of</w:t>
      </w:r>
      <w:proofErr w:type="gramEnd"/>
      <w:r w:rsidRPr="008E67A2">
        <w:rPr>
          <w:rFonts w:ascii="Trebuchet MS" w:eastAsia="Times New Roman" w:hAnsi="Trebuchet MS" w:cs="Arial"/>
          <w:sz w:val="24"/>
          <w:szCs w:val="24"/>
          <w:shd w:val="clear" w:color="auto" w:fill="FFFFFF"/>
          <w:lang w:eastAsia="en-GB"/>
        </w:rPr>
        <w:t xml:space="preserve"> Employers in the UK are small Employers.</w:t>
      </w:r>
    </w:p>
  </w:footnote>
  <w:footnote w:id="2">
    <w:p w14:paraId="4B744CE9" w14:textId="77777777" w:rsidR="00DE1F3E" w:rsidRPr="003B295C" w:rsidRDefault="00DE1F3E" w:rsidP="00D73296">
      <w:pPr>
        <w:pStyle w:val="FootnoteText"/>
        <w:rPr>
          <w:sz w:val="18"/>
          <w:szCs w:val="18"/>
        </w:rPr>
      </w:pPr>
      <w:r w:rsidRPr="003B295C">
        <w:rPr>
          <w:rStyle w:val="FootnoteReference"/>
          <w:sz w:val="18"/>
          <w:szCs w:val="18"/>
        </w:rPr>
        <w:footnoteRef/>
      </w:r>
      <w:r w:rsidRPr="003B295C">
        <w:rPr>
          <w:sz w:val="18"/>
          <w:szCs w:val="18"/>
        </w:rPr>
        <w:t xml:space="preserve"> Infers t</w:t>
      </w:r>
      <w:r>
        <w:rPr>
          <w:sz w:val="18"/>
          <w:szCs w:val="18"/>
        </w:rPr>
        <w:t>o obligation to act in benefit of society.</w:t>
      </w:r>
    </w:p>
  </w:footnote>
  <w:footnote w:id="3">
    <w:p w14:paraId="47B755B2" w14:textId="77777777" w:rsidR="00DE1F3E" w:rsidRPr="003B295C" w:rsidRDefault="00DE1F3E" w:rsidP="00D73296">
      <w:pPr>
        <w:pStyle w:val="FootnoteText"/>
        <w:spacing w:after="120"/>
        <w:rPr>
          <w:sz w:val="18"/>
          <w:szCs w:val="18"/>
        </w:rPr>
      </w:pPr>
      <w:r w:rsidRPr="003B295C">
        <w:rPr>
          <w:rStyle w:val="FootnoteReference"/>
          <w:sz w:val="18"/>
          <w:szCs w:val="18"/>
        </w:rPr>
        <w:footnoteRef/>
      </w:r>
      <w:r w:rsidRPr="003B295C">
        <w:rPr>
          <w:sz w:val="18"/>
          <w:szCs w:val="18"/>
        </w:rPr>
        <w:t xml:space="preserve"> Infers to the German model of the Works Council</w:t>
      </w:r>
      <w:r>
        <w:rPr>
          <w:sz w:val="18"/>
          <w:szCs w:val="18"/>
        </w:rPr>
        <w:t>.</w:t>
      </w:r>
    </w:p>
  </w:footnote>
  <w:footnote w:id="4">
    <w:p w14:paraId="5F5F5957" w14:textId="77777777" w:rsidR="00DF1C96" w:rsidRDefault="00DF1C96" w:rsidP="00DF1C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The advantages of the platform are that it enables many to participate and partner in the process of protecting the many yet weak or weakened by employment misu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>se or abuse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>.  It also facilitates learning from insensitivities about society’s characteristics through asking questions about its human resources and stakeholders through its human resources and stakeholders.</w:t>
      </w:r>
    </w:p>
  </w:footnote>
  <w:footnote w:id="5">
    <w:p w14:paraId="67F349FA" w14:textId="77777777" w:rsidR="00DF1C96" w:rsidRDefault="00DF1C96" w:rsidP="00DF1C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In the future this should lead to </w:t>
      </w:r>
      <w:r w:rsidRPr="008E67A2">
        <w:rPr>
          <w:rFonts w:ascii="Trebuchet MS" w:eastAsia="Times New Roman" w:hAnsi="Trebuchet MS" w:cs="Arial"/>
          <w:sz w:val="24"/>
          <w:szCs w:val="24"/>
          <w:lang w:eastAsia="en-GB"/>
        </w:rPr>
        <w:t xml:space="preserve">repeal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of the caveat in the Equality Act 2010.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74F"/>
    <w:multiLevelType w:val="hybridMultilevel"/>
    <w:tmpl w:val="FC9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538"/>
    <w:multiLevelType w:val="hybridMultilevel"/>
    <w:tmpl w:val="00704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160E"/>
    <w:multiLevelType w:val="hybridMultilevel"/>
    <w:tmpl w:val="A516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A01"/>
    <w:multiLevelType w:val="hybridMultilevel"/>
    <w:tmpl w:val="1056F5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30A87"/>
    <w:multiLevelType w:val="hybridMultilevel"/>
    <w:tmpl w:val="FD2623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7284"/>
    <w:multiLevelType w:val="multilevel"/>
    <w:tmpl w:val="107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14FB9"/>
    <w:multiLevelType w:val="hybridMultilevel"/>
    <w:tmpl w:val="6240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218C"/>
    <w:multiLevelType w:val="hybridMultilevel"/>
    <w:tmpl w:val="06B8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1082"/>
    <w:multiLevelType w:val="multilevel"/>
    <w:tmpl w:val="DE2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E7487"/>
    <w:multiLevelType w:val="hybridMultilevel"/>
    <w:tmpl w:val="3BFA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368B4"/>
    <w:multiLevelType w:val="multilevel"/>
    <w:tmpl w:val="0F78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B6CD1"/>
    <w:multiLevelType w:val="hybridMultilevel"/>
    <w:tmpl w:val="DF8E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7E2F"/>
    <w:multiLevelType w:val="multilevel"/>
    <w:tmpl w:val="57E4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D10C1"/>
    <w:multiLevelType w:val="hybridMultilevel"/>
    <w:tmpl w:val="FB4E89F8"/>
    <w:lvl w:ilvl="0" w:tplc="01F8C1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17714"/>
    <w:multiLevelType w:val="hybridMultilevel"/>
    <w:tmpl w:val="38E0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35F39"/>
    <w:multiLevelType w:val="hybridMultilevel"/>
    <w:tmpl w:val="95D2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35D22"/>
    <w:multiLevelType w:val="hybridMultilevel"/>
    <w:tmpl w:val="377C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2AF9"/>
    <w:multiLevelType w:val="hybridMultilevel"/>
    <w:tmpl w:val="AF06025A"/>
    <w:lvl w:ilvl="0" w:tplc="01F8C1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A5885"/>
    <w:multiLevelType w:val="multilevel"/>
    <w:tmpl w:val="3D2A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A0D80"/>
    <w:multiLevelType w:val="hybridMultilevel"/>
    <w:tmpl w:val="24F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74E7F"/>
    <w:multiLevelType w:val="hybridMultilevel"/>
    <w:tmpl w:val="38EC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2CE6"/>
    <w:multiLevelType w:val="hybridMultilevel"/>
    <w:tmpl w:val="736201F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E772A"/>
    <w:multiLevelType w:val="hybridMultilevel"/>
    <w:tmpl w:val="5EE8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872E7"/>
    <w:multiLevelType w:val="hybridMultilevel"/>
    <w:tmpl w:val="BF4694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72E74"/>
    <w:multiLevelType w:val="hybridMultilevel"/>
    <w:tmpl w:val="AC60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57066"/>
    <w:multiLevelType w:val="hybridMultilevel"/>
    <w:tmpl w:val="85B88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453D6E"/>
    <w:multiLevelType w:val="hybridMultilevel"/>
    <w:tmpl w:val="6CA6BC7C"/>
    <w:lvl w:ilvl="0" w:tplc="01F8C1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16C3D"/>
    <w:multiLevelType w:val="hybridMultilevel"/>
    <w:tmpl w:val="3BDA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11"/>
  </w:num>
  <w:num w:numId="8">
    <w:abstractNumId w:val="15"/>
  </w:num>
  <w:num w:numId="9">
    <w:abstractNumId w:val="7"/>
  </w:num>
  <w:num w:numId="10">
    <w:abstractNumId w:val="26"/>
  </w:num>
  <w:num w:numId="11">
    <w:abstractNumId w:val="4"/>
  </w:num>
  <w:num w:numId="12">
    <w:abstractNumId w:val="13"/>
  </w:num>
  <w:num w:numId="13">
    <w:abstractNumId w:val="17"/>
  </w:num>
  <w:num w:numId="14">
    <w:abstractNumId w:val="6"/>
  </w:num>
  <w:num w:numId="15">
    <w:abstractNumId w:val="2"/>
  </w:num>
  <w:num w:numId="16">
    <w:abstractNumId w:val="21"/>
  </w:num>
  <w:num w:numId="17">
    <w:abstractNumId w:val="22"/>
  </w:num>
  <w:num w:numId="18">
    <w:abstractNumId w:val="16"/>
  </w:num>
  <w:num w:numId="19">
    <w:abstractNumId w:val="19"/>
  </w:num>
  <w:num w:numId="20">
    <w:abstractNumId w:val="9"/>
  </w:num>
  <w:num w:numId="21">
    <w:abstractNumId w:val="23"/>
  </w:num>
  <w:num w:numId="22">
    <w:abstractNumId w:val="1"/>
  </w:num>
  <w:num w:numId="23">
    <w:abstractNumId w:val="20"/>
  </w:num>
  <w:num w:numId="24">
    <w:abstractNumId w:val="27"/>
  </w:num>
  <w:num w:numId="25">
    <w:abstractNumId w:val="24"/>
  </w:num>
  <w:num w:numId="26">
    <w:abstractNumId w:val="25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VavIn/DOgKwTzNF+lIXD2bCQrTkI6qB3FasKkcyY0YZZmO5uNgqni5jSBmGdkVN1MF0xMT4WBmHQeg094OH5CA==" w:salt="a87xjPe3wtUHAQ/Jhywh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88"/>
    <w:rsid w:val="000134BB"/>
    <w:rsid w:val="00015501"/>
    <w:rsid w:val="0001732B"/>
    <w:rsid w:val="00022446"/>
    <w:rsid w:val="00031E61"/>
    <w:rsid w:val="00040B8F"/>
    <w:rsid w:val="00040BE6"/>
    <w:rsid w:val="00044627"/>
    <w:rsid w:val="00045A2C"/>
    <w:rsid w:val="0005632F"/>
    <w:rsid w:val="00063065"/>
    <w:rsid w:val="0007376F"/>
    <w:rsid w:val="00077E8D"/>
    <w:rsid w:val="0008233A"/>
    <w:rsid w:val="00084701"/>
    <w:rsid w:val="00093D94"/>
    <w:rsid w:val="00094DED"/>
    <w:rsid w:val="000A2C4B"/>
    <w:rsid w:val="000A7326"/>
    <w:rsid w:val="000B1AEA"/>
    <w:rsid w:val="000C582A"/>
    <w:rsid w:val="000D5FE2"/>
    <w:rsid w:val="000D6269"/>
    <w:rsid w:val="000E0585"/>
    <w:rsid w:val="000E1B22"/>
    <w:rsid w:val="000F2AEC"/>
    <w:rsid w:val="000F36E9"/>
    <w:rsid w:val="000F7D09"/>
    <w:rsid w:val="00102CD3"/>
    <w:rsid w:val="001112D3"/>
    <w:rsid w:val="00131138"/>
    <w:rsid w:val="00132EB0"/>
    <w:rsid w:val="001412A6"/>
    <w:rsid w:val="00162685"/>
    <w:rsid w:val="00174A60"/>
    <w:rsid w:val="00176E0C"/>
    <w:rsid w:val="001807B0"/>
    <w:rsid w:val="0018484C"/>
    <w:rsid w:val="00190A72"/>
    <w:rsid w:val="001B1342"/>
    <w:rsid w:val="001C68C3"/>
    <w:rsid w:val="001E1725"/>
    <w:rsid w:val="001E2EB3"/>
    <w:rsid w:val="00205A95"/>
    <w:rsid w:val="002063A8"/>
    <w:rsid w:val="00220498"/>
    <w:rsid w:val="002215D0"/>
    <w:rsid w:val="00222514"/>
    <w:rsid w:val="002317F3"/>
    <w:rsid w:val="00236054"/>
    <w:rsid w:val="002466BA"/>
    <w:rsid w:val="002467FF"/>
    <w:rsid w:val="00247277"/>
    <w:rsid w:val="00252E71"/>
    <w:rsid w:val="00252F59"/>
    <w:rsid w:val="00254EAF"/>
    <w:rsid w:val="0025643A"/>
    <w:rsid w:val="00271C7C"/>
    <w:rsid w:val="00274F17"/>
    <w:rsid w:val="00275197"/>
    <w:rsid w:val="002824BE"/>
    <w:rsid w:val="0028722C"/>
    <w:rsid w:val="0029299A"/>
    <w:rsid w:val="002A1D81"/>
    <w:rsid w:val="002B596D"/>
    <w:rsid w:val="002C0E6F"/>
    <w:rsid w:val="002C276D"/>
    <w:rsid w:val="002D38B7"/>
    <w:rsid w:val="002D5CEE"/>
    <w:rsid w:val="002F7A6A"/>
    <w:rsid w:val="00304AD4"/>
    <w:rsid w:val="0031206D"/>
    <w:rsid w:val="0032441B"/>
    <w:rsid w:val="00332358"/>
    <w:rsid w:val="00334592"/>
    <w:rsid w:val="00335CCE"/>
    <w:rsid w:val="00340B1B"/>
    <w:rsid w:val="00357CD3"/>
    <w:rsid w:val="00361F21"/>
    <w:rsid w:val="0036215E"/>
    <w:rsid w:val="003739C0"/>
    <w:rsid w:val="00384CF8"/>
    <w:rsid w:val="003863A9"/>
    <w:rsid w:val="00387FF4"/>
    <w:rsid w:val="00396739"/>
    <w:rsid w:val="003B295C"/>
    <w:rsid w:val="003B31EB"/>
    <w:rsid w:val="003C0508"/>
    <w:rsid w:val="003E37BE"/>
    <w:rsid w:val="003E5BFD"/>
    <w:rsid w:val="003F0027"/>
    <w:rsid w:val="003F5402"/>
    <w:rsid w:val="004009D8"/>
    <w:rsid w:val="00402B2C"/>
    <w:rsid w:val="00414CD7"/>
    <w:rsid w:val="00416174"/>
    <w:rsid w:val="00424382"/>
    <w:rsid w:val="00425FE5"/>
    <w:rsid w:val="00426359"/>
    <w:rsid w:val="00427D73"/>
    <w:rsid w:val="00443FAC"/>
    <w:rsid w:val="00446455"/>
    <w:rsid w:val="0045090D"/>
    <w:rsid w:val="004678ED"/>
    <w:rsid w:val="004703BA"/>
    <w:rsid w:val="00471B60"/>
    <w:rsid w:val="0047398D"/>
    <w:rsid w:val="00473E7F"/>
    <w:rsid w:val="00482FD1"/>
    <w:rsid w:val="0049410A"/>
    <w:rsid w:val="0049732F"/>
    <w:rsid w:val="004A1BDA"/>
    <w:rsid w:val="004A1EF3"/>
    <w:rsid w:val="004A797C"/>
    <w:rsid w:val="004B1089"/>
    <w:rsid w:val="004B2B2F"/>
    <w:rsid w:val="004C33F5"/>
    <w:rsid w:val="004D0291"/>
    <w:rsid w:val="004E229C"/>
    <w:rsid w:val="004F0A67"/>
    <w:rsid w:val="004F27CA"/>
    <w:rsid w:val="004F34D8"/>
    <w:rsid w:val="004F5403"/>
    <w:rsid w:val="004F7847"/>
    <w:rsid w:val="00503054"/>
    <w:rsid w:val="005116C8"/>
    <w:rsid w:val="00520CD1"/>
    <w:rsid w:val="00522DE7"/>
    <w:rsid w:val="005305A7"/>
    <w:rsid w:val="00533801"/>
    <w:rsid w:val="00536A79"/>
    <w:rsid w:val="005514E8"/>
    <w:rsid w:val="005704A7"/>
    <w:rsid w:val="00574EEE"/>
    <w:rsid w:val="0058680F"/>
    <w:rsid w:val="0059659C"/>
    <w:rsid w:val="005A12FC"/>
    <w:rsid w:val="005A3713"/>
    <w:rsid w:val="005C08DB"/>
    <w:rsid w:val="005C351B"/>
    <w:rsid w:val="005C551D"/>
    <w:rsid w:val="005D2599"/>
    <w:rsid w:val="005D37D7"/>
    <w:rsid w:val="005E01E3"/>
    <w:rsid w:val="005E44FE"/>
    <w:rsid w:val="005E6BCE"/>
    <w:rsid w:val="005F1A33"/>
    <w:rsid w:val="005F3028"/>
    <w:rsid w:val="005F4E04"/>
    <w:rsid w:val="00602819"/>
    <w:rsid w:val="006038D1"/>
    <w:rsid w:val="00607095"/>
    <w:rsid w:val="00615698"/>
    <w:rsid w:val="00615EC9"/>
    <w:rsid w:val="00616847"/>
    <w:rsid w:val="006179FB"/>
    <w:rsid w:val="006259D2"/>
    <w:rsid w:val="006304EF"/>
    <w:rsid w:val="00632F1D"/>
    <w:rsid w:val="00640CFB"/>
    <w:rsid w:val="006471EA"/>
    <w:rsid w:val="006826ED"/>
    <w:rsid w:val="00691D38"/>
    <w:rsid w:val="006A1A3D"/>
    <w:rsid w:val="006A3AC5"/>
    <w:rsid w:val="006B42E8"/>
    <w:rsid w:val="006C20FE"/>
    <w:rsid w:val="006C4E0A"/>
    <w:rsid w:val="006C699A"/>
    <w:rsid w:val="006D0A80"/>
    <w:rsid w:val="006D3B47"/>
    <w:rsid w:val="006D60FC"/>
    <w:rsid w:val="00707948"/>
    <w:rsid w:val="00712734"/>
    <w:rsid w:val="007137EC"/>
    <w:rsid w:val="0072373C"/>
    <w:rsid w:val="00724FBD"/>
    <w:rsid w:val="00733B18"/>
    <w:rsid w:val="00735A54"/>
    <w:rsid w:val="00737B54"/>
    <w:rsid w:val="00740A98"/>
    <w:rsid w:val="00743120"/>
    <w:rsid w:val="00746806"/>
    <w:rsid w:val="00747934"/>
    <w:rsid w:val="00757F50"/>
    <w:rsid w:val="0076048D"/>
    <w:rsid w:val="00760722"/>
    <w:rsid w:val="007710EB"/>
    <w:rsid w:val="00780438"/>
    <w:rsid w:val="007907A5"/>
    <w:rsid w:val="00795B4B"/>
    <w:rsid w:val="00797E06"/>
    <w:rsid w:val="007A20F4"/>
    <w:rsid w:val="007A24D5"/>
    <w:rsid w:val="007B3089"/>
    <w:rsid w:val="007B394C"/>
    <w:rsid w:val="007E0F76"/>
    <w:rsid w:val="007F4BDA"/>
    <w:rsid w:val="007F4DC6"/>
    <w:rsid w:val="007F6781"/>
    <w:rsid w:val="007F74A7"/>
    <w:rsid w:val="007F763C"/>
    <w:rsid w:val="008020C1"/>
    <w:rsid w:val="00805ECD"/>
    <w:rsid w:val="00807604"/>
    <w:rsid w:val="00810ADD"/>
    <w:rsid w:val="00810B79"/>
    <w:rsid w:val="00814864"/>
    <w:rsid w:val="00821BCE"/>
    <w:rsid w:val="00822742"/>
    <w:rsid w:val="00841CAF"/>
    <w:rsid w:val="00844376"/>
    <w:rsid w:val="00846F58"/>
    <w:rsid w:val="00847762"/>
    <w:rsid w:val="008517BD"/>
    <w:rsid w:val="00854204"/>
    <w:rsid w:val="00867AD7"/>
    <w:rsid w:val="008722C5"/>
    <w:rsid w:val="00874C15"/>
    <w:rsid w:val="00877A85"/>
    <w:rsid w:val="00882BBE"/>
    <w:rsid w:val="00886CEE"/>
    <w:rsid w:val="008A34DE"/>
    <w:rsid w:val="008A3EED"/>
    <w:rsid w:val="008B089D"/>
    <w:rsid w:val="008B7659"/>
    <w:rsid w:val="008B7A5D"/>
    <w:rsid w:val="008C1168"/>
    <w:rsid w:val="008C4072"/>
    <w:rsid w:val="008C5CE0"/>
    <w:rsid w:val="008C7BA7"/>
    <w:rsid w:val="008D23D0"/>
    <w:rsid w:val="008E3248"/>
    <w:rsid w:val="008E67A2"/>
    <w:rsid w:val="008F08A5"/>
    <w:rsid w:val="008F2563"/>
    <w:rsid w:val="008F359D"/>
    <w:rsid w:val="0090128F"/>
    <w:rsid w:val="00910190"/>
    <w:rsid w:val="00910A50"/>
    <w:rsid w:val="009222A9"/>
    <w:rsid w:val="00933CB5"/>
    <w:rsid w:val="00944D2A"/>
    <w:rsid w:val="00963271"/>
    <w:rsid w:val="00971C91"/>
    <w:rsid w:val="009773C4"/>
    <w:rsid w:val="00980A17"/>
    <w:rsid w:val="00981FF0"/>
    <w:rsid w:val="00984FE7"/>
    <w:rsid w:val="009963D5"/>
    <w:rsid w:val="009971AB"/>
    <w:rsid w:val="00997D6E"/>
    <w:rsid w:val="009A0C60"/>
    <w:rsid w:val="009A273B"/>
    <w:rsid w:val="009A4AE8"/>
    <w:rsid w:val="009C1E87"/>
    <w:rsid w:val="009C7D61"/>
    <w:rsid w:val="009D60B5"/>
    <w:rsid w:val="009E1F1A"/>
    <w:rsid w:val="009E2066"/>
    <w:rsid w:val="009E3743"/>
    <w:rsid w:val="009F2B1E"/>
    <w:rsid w:val="00A040BA"/>
    <w:rsid w:val="00A1578B"/>
    <w:rsid w:val="00A17E05"/>
    <w:rsid w:val="00A23067"/>
    <w:rsid w:val="00A4556C"/>
    <w:rsid w:val="00A65D44"/>
    <w:rsid w:val="00A70741"/>
    <w:rsid w:val="00A802A7"/>
    <w:rsid w:val="00A80404"/>
    <w:rsid w:val="00A85F6F"/>
    <w:rsid w:val="00AA3064"/>
    <w:rsid w:val="00AB05FF"/>
    <w:rsid w:val="00AC035B"/>
    <w:rsid w:val="00AC7A73"/>
    <w:rsid w:val="00AD0450"/>
    <w:rsid w:val="00AD06C1"/>
    <w:rsid w:val="00AD5D09"/>
    <w:rsid w:val="00AD64D4"/>
    <w:rsid w:val="00AE7716"/>
    <w:rsid w:val="00AE7BE8"/>
    <w:rsid w:val="00AF4A0F"/>
    <w:rsid w:val="00AF53EE"/>
    <w:rsid w:val="00AF7728"/>
    <w:rsid w:val="00B017E3"/>
    <w:rsid w:val="00B04163"/>
    <w:rsid w:val="00B05C27"/>
    <w:rsid w:val="00B05E6D"/>
    <w:rsid w:val="00B15B46"/>
    <w:rsid w:val="00B251DB"/>
    <w:rsid w:val="00B2541A"/>
    <w:rsid w:val="00B26504"/>
    <w:rsid w:val="00B27F83"/>
    <w:rsid w:val="00B30262"/>
    <w:rsid w:val="00B33BD1"/>
    <w:rsid w:val="00B513F5"/>
    <w:rsid w:val="00B535C2"/>
    <w:rsid w:val="00B60846"/>
    <w:rsid w:val="00B61573"/>
    <w:rsid w:val="00B65D28"/>
    <w:rsid w:val="00B66C1D"/>
    <w:rsid w:val="00B710F7"/>
    <w:rsid w:val="00B71364"/>
    <w:rsid w:val="00B717D8"/>
    <w:rsid w:val="00B722BF"/>
    <w:rsid w:val="00B73D0C"/>
    <w:rsid w:val="00B757BA"/>
    <w:rsid w:val="00B77F38"/>
    <w:rsid w:val="00B8379A"/>
    <w:rsid w:val="00B84758"/>
    <w:rsid w:val="00B87BDC"/>
    <w:rsid w:val="00B947A3"/>
    <w:rsid w:val="00B97B9D"/>
    <w:rsid w:val="00BB3A2A"/>
    <w:rsid w:val="00BC177B"/>
    <w:rsid w:val="00BC6E98"/>
    <w:rsid w:val="00BD3E02"/>
    <w:rsid w:val="00BE2647"/>
    <w:rsid w:val="00BE2DBC"/>
    <w:rsid w:val="00BE6E77"/>
    <w:rsid w:val="00BF05CD"/>
    <w:rsid w:val="00BF3D74"/>
    <w:rsid w:val="00C00215"/>
    <w:rsid w:val="00C022CB"/>
    <w:rsid w:val="00C115E4"/>
    <w:rsid w:val="00C1405B"/>
    <w:rsid w:val="00C2153A"/>
    <w:rsid w:val="00C277F2"/>
    <w:rsid w:val="00C404A8"/>
    <w:rsid w:val="00C426F6"/>
    <w:rsid w:val="00C443C1"/>
    <w:rsid w:val="00C475A3"/>
    <w:rsid w:val="00C47685"/>
    <w:rsid w:val="00C51B02"/>
    <w:rsid w:val="00C65A86"/>
    <w:rsid w:val="00C66804"/>
    <w:rsid w:val="00C70640"/>
    <w:rsid w:val="00C72C6A"/>
    <w:rsid w:val="00C732BD"/>
    <w:rsid w:val="00C80C4A"/>
    <w:rsid w:val="00C86DBE"/>
    <w:rsid w:val="00C9293E"/>
    <w:rsid w:val="00C93635"/>
    <w:rsid w:val="00C94A38"/>
    <w:rsid w:val="00C95266"/>
    <w:rsid w:val="00CA2DF6"/>
    <w:rsid w:val="00CA6001"/>
    <w:rsid w:val="00CA6494"/>
    <w:rsid w:val="00CA6D88"/>
    <w:rsid w:val="00CB1C9F"/>
    <w:rsid w:val="00CB6232"/>
    <w:rsid w:val="00CB6CE1"/>
    <w:rsid w:val="00CD1AEE"/>
    <w:rsid w:val="00CD24F1"/>
    <w:rsid w:val="00CE7E68"/>
    <w:rsid w:val="00CF313A"/>
    <w:rsid w:val="00CF4606"/>
    <w:rsid w:val="00CF643C"/>
    <w:rsid w:val="00CF6470"/>
    <w:rsid w:val="00CF74EB"/>
    <w:rsid w:val="00D03813"/>
    <w:rsid w:val="00D0430B"/>
    <w:rsid w:val="00D06F3F"/>
    <w:rsid w:val="00D1727F"/>
    <w:rsid w:val="00D228E3"/>
    <w:rsid w:val="00D27030"/>
    <w:rsid w:val="00D34052"/>
    <w:rsid w:val="00D36423"/>
    <w:rsid w:val="00D42D6F"/>
    <w:rsid w:val="00D44610"/>
    <w:rsid w:val="00D66198"/>
    <w:rsid w:val="00D66EC5"/>
    <w:rsid w:val="00D7019C"/>
    <w:rsid w:val="00D73296"/>
    <w:rsid w:val="00D8534E"/>
    <w:rsid w:val="00DA190E"/>
    <w:rsid w:val="00DB3CAE"/>
    <w:rsid w:val="00DB5F66"/>
    <w:rsid w:val="00DC3FB6"/>
    <w:rsid w:val="00DE1F3E"/>
    <w:rsid w:val="00DE58B2"/>
    <w:rsid w:val="00DE5FAA"/>
    <w:rsid w:val="00DE73C1"/>
    <w:rsid w:val="00DF1249"/>
    <w:rsid w:val="00DF1C96"/>
    <w:rsid w:val="00E01579"/>
    <w:rsid w:val="00E03C40"/>
    <w:rsid w:val="00E1554D"/>
    <w:rsid w:val="00E32188"/>
    <w:rsid w:val="00E36DCD"/>
    <w:rsid w:val="00E4256C"/>
    <w:rsid w:val="00E50FFB"/>
    <w:rsid w:val="00E57655"/>
    <w:rsid w:val="00E67D6A"/>
    <w:rsid w:val="00E815FE"/>
    <w:rsid w:val="00E863D9"/>
    <w:rsid w:val="00E86DAE"/>
    <w:rsid w:val="00E90F75"/>
    <w:rsid w:val="00EA07A5"/>
    <w:rsid w:val="00EB1D1E"/>
    <w:rsid w:val="00EB63C3"/>
    <w:rsid w:val="00EC1428"/>
    <w:rsid w:val="00EC1D7C"/>
    <w:rsid w:val="00ED1C7D"/>
    <w:rsid w:val="00ED20E8"/>
    <w:rsid w:val="00ED5D05"/>
    <w:rsid w:val="00EE3AC6"/>
    <w:rsid w:val="00EF2275"/>
    <w:rsid w:val="00EF3787"/>
    <w:rsid w:val="00EF50AD"/>
    <w:rsid w:val="00F22072"/>
    <w:rsid w:val="00F229FC"/>
    <w:rsid w:val="00F23221"/>
    <w:rsid w:val="00F434D3"/>
    <w:rsid w:val="00F520E4"/>
    <w:rsid w:val="00F52C55"/>
    <w:rsid w:val="00F64DC6"/>
    <w:rsid w:val="00F7261B"/>
    <w:rsid w:val="00F7433A"/>
    <w:rsid w:val="00F85ED4"/>
    <w:rsid w:val="00F8763C"/>
    <w:rsid w:val="00F8795A"/>
    <w:rsid w:val="00F95700"/>
    <w:rsid w:val="00FA1030"/>
    <w:rsid w:val="00FA7DA2"/>
    <w:rsid w:val="00FE5D7C"/>
    <w:rsid w:val="00FE7BDA"/>
    <w:rsid w:val="00FF2A5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B559"/>
  <w15:docId w15:val="{730594C0-882F-4170-8226-7BD977E1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6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0B8F"/>
  </w:style>
  <w:style w:type="character" w:styleId="Hyperlink">
    <w:name w:val="Hyperlink"/>
    <w:basedOn w:val="DefaultParagraphFont"/>
    <w:uiPriority w:val="99"/>
    <w:unhideWhenUsed/>
    <w:rsid w:val="00E5765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0F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0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0FE"/>
    <w:rPr>
      <w:vertAlign w:val="superscript"/>
    </w:rPr>
  </w:style>
  <w:style w:type="paragraph" w:customStyle="1" w:styleId="body">
    <w:name w:val="body"/>
    <w:basedOn w:val="Normal"/>
    <w:rsid w:val="004F2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A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AEC"/>
  </w:style>
  <w:style w:type="paragraph" w:styleId="Footer">
    <w:name w:val="footer"/>
    <w:basedOn w:val="Normal"/>
    <w:link w:val="FooterChar"/>
    <w:uiPriority w:val="99"/>
    <w:unhideWhenUsed/>
    <w:rsid w:val="000F2A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AEC"/>
  </w:style>
  <w:style w:type="paragraph" w:styleId="NormalWeb">
    <w:name w:val="Normal (Web)"/>
    <w:basedOn w:val="Normal"/>
    <w:uiPriority w:val="99"/>
    <w:unhideWhenUsed/>
    <w:rsid w:val="00C404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FD1"/>
    <w:pPr>
      <w:ind w:left="720"/>
      <w:contextualSpacing/>
    </w:pPr>
  </w:style>
  <w:style w:type="table" w:styleId="TableGrid">
    <w:name w:val="Table Grid"/>
    <w:basedOn w:val="TableNormal"/>
    <w:uiPriority w:val="59"/>
    <w:rsid w:val="006028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1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1273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27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2734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BE6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E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E7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32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3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632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726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2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661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66198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91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76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438D-7AAF-41D5-8BC0-43A0BABC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909</Words>
  <Characters>5182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Ringshall Primary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Christian Agbodza (student)</cp:lastModifiedBy>
  <cp:revision>4</cp:revision>
  <cp:lastPrinted>2018-02-14T03:17:00Z</cp:lastPrinted>
  <dcterms:created xsi:type="dcterms:W3CDTF">2018-02-14T03:22:00Z</dcterms:created>
  <dcterms:modified xsi:type="dcterms:W3CDTF">2018-02-16T14:53:00Z</dcterms:modified>
</cp:coreProperties>
</file>